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9076" w14:textId="77777777" w:rsidR="00D84798" w:rsidRPr="00D84798" w:rsidRDefault="00D257CD" w:rsidP="00ED4717">
      <w:pPr>
        <w:pStyle w:val="Heading1"/>
        <w:ind w:left="-851"/>
        <w:jc w:val="center"/>
      </w:pPr>
      <w:r>
        <w:t>ROLE</w:t>
      </w:r>
      <w:r w:rsidR="006E0FE0">
        <w:t xml:space="preserve"> PROFILE </w:t>
      </w:r>
    </w:p>
    <w:tbl>
      <w:tblPr>
        <w:tblStyle w:val="TableGrid"/>
        <w:tblW w:w="109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835"/>
        <w:gridCol w:w="1701"/>
        <w:gridCol w:w="3971"/>
      </w:tblGrid>
      <w:tr w:rsidR="003054F1" w14:paraId="5AEDDD58" w14:textId="77777777" w:rsidTr="05FFD336">
        <w:tc>
          <w:tcPr>
            <w:tcW w:w="1560" w:type="dxa"/>
            <w:shd w:val="clear" w:color="auto" w:fill="E7E6E6" w:themeFill="background2"/>
          </w:tcPr>
          <w:p w14:paraId="5D8BE1B2" w14:textId="77777777" w:rsidR="00DD237D" w:rsidRPr="00C62A1F" w:rsidRDefault="00DD2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686" w:type="dxa"/>
            <w:gridSpan w:val="2"/>
          </w:tcPr>
          <w:p w14:paraId="70ABF6DD" w14:textId="4B1F4FBB" w:rsidR="00E227BC" w:rsidRPr="00C62A1F" w:rsidRDefault="000765A9" w:rsidP="00CA6C4C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Quality </w:t>
            </w:r>
            <w:r w:rsidR="00D32CDC" w:rsidRPr="00C62A1F">
              <w:rPr>
                <w:rFonts w:ascii="Arial" w:hAnsi="Arial" w:cs="Arial"/>
                <w:sz w:val="20"/>
                <w:szCs w:val="20"/>
              </w:rPr>
              <w:t xml:space="preserve">and Compliance </w:t>
            </w:r>
            <w:r w:rsidRPr="00C62A1F">
              <w:rPr>
                <w:rFonts w:ascii="Arial" w:hAnsi="Arial" w:cs="Arial"/>
                <w:sz w:val="20"/>
                <w:szCs w:val="20"/>
              </w:rPr>
              <w:t>Inspector</w:t>
            </w:r>
          </w:p>
        </w:tc>
        <w:tc>
          <w:tcPr>
            <w:tcW w:w="1701" w:type="dxa"/>
            <w:shd w:val="clear" w:color="auto" w:fill="E7E6E6" w:themeFill="background2"/>
          </w:tcPr>
          <w:p w14:paraId="102A7778" w14:textId="77777777" w:rsidR="00DD237D" w:rsidRPr="00C62A1F" w:rsidRDefault="00DD237D" w:rsidP="00DD23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</w:p>
        </w:tc>
        <w:tc>
          <w:tcPr>
            <w:tcW w:w="3971" w:type="dxa"/>
          </w:tcPr>
          <w:p w14:paraId="483601BF" w14:textId="0B42A835" w:rsidR="003054F1" w:rsidRPr="00084AC2" w:rsidRDefault="00D32CDC" w:rsidP="00855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Safety</w:t>
            </w:r>
            <w:r w:rsidR="000765A9">
              <w:rPr>
                <w:rFonts w:ascii="Arial" w:hAnsi="Arial" w:cs="Arial"/>
              </w:rPr>
              <w:t xml:space="preserve"> Manager</w:t>
            </w:r>
          </w:p>
        </w:tc>
      </w:tr>
      <w:tr w:rsidR="00D84798" w14:paraId="52ECA5A4" w14:textId="77777777" w:rsidTr="05FFD336">
        <w:tc>
          <w:tcPr>
            <w:tcW w:w="1560" w:type="dxa"/>
            <w:shd w:val="clear" w:color="auto" w:fill="E7E6E6" w:themeFill="background2"/>
          </w:tcPr>
          <w:p w14:paraId="72515474" w14:textId="77777777" w:rsidR="00D84798" w:rsidRPr="00C62A1F" w:rsidRDefault="00D84798" w:rsidP="00D847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Directorate:</w:t>
            </w:r>
          </w:p>
          <w:p w14:paraId="3521DE07" w14:textId="77777777" w:rsidR="007C04B3" w:rsidRPr="00C62A1F" w:rsidRDefault="007C04B3" w:rsidP="00D847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Team: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23557344" w14:textId="65DA4510" w:rsidR="001E2A88" w:rsidRPr="00C62A1F" w:rsidRDefault="00D32CDC" w:rsidP="00E227BC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Corporate Governance and Finance</w:t>
            </w:r>
          </w:p>
          <w:p w14:paraId="6F4F7DFE" w14:textId="01986376" w:rsidR="00153FB2" w:rsidRPr="00C62A1F" w:rsidRDefault="00D32CDC" w:rsidP="00E227BC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Governance</w:t>
            </w:r>
          </w:p>
        </w:tc>
        <w:tc>
          <w:tcPr>
            <w:tcW w:w="1701" w:type="dxa"/>
            <w:shd w:val="clear" w:color="auto" w:fill="E7E6E6" w:themeFill="background2"/>
          </w:tcPr>
          <w:p w14:paraId="57A1761A" w14:textId="77777777" w:rsidR="00D84798" w:rsidRPr="00C62A1F" w:rsidRDefault="00D84798" w:rsidP="00D847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3971" w:type="dxa"/>
            <w:shd w:val="clear" w:color="auto" w:fill="FFFFFF" w:themeFill="background1"/>
          </w:tcPr>
          <w:p w14:paraId="683CB4F6" w14:textId="3EEFE1E2" w:rsidR="00ED4717" w:rsidRPr="00084AC2" w:rsidRDefault="00855FC7" w:rsidP="00C760D8">
            <w:pPr>
              <w:rPr>
                <w:rFonts w:ascii="Arial" w:hAnsi="Arial" w:cs="Arial"/>
              </w:rPr>
            </w:pPr>
            <w:r w:rsidRPr="00084AC2">
              <w:rPr>
                <w:rFonts w:ascii="Arial" w:hAnsi="Arial" w:cs="Arial"/>
              </w:rPr>
              <w:t xml:space="preserve">Any location across the </w:t>
            </w:r>
            <w:r w:rsidR="00084AC2" w:rsidRPr="00084AC2">
              <w:rPr>
                <w:rFonts w:ascii="Arial" w:hAnsi="Arial" w:cs="Arial"/>
              </w:rPr>
              <w:t>business</w:t>
            </w:r>
          </w:p>
          <w:p w14:paraId="7BF72252" w14:textId="77777777" w:rsidR="007011B0" w:rsidRPr="00084AC2" w:rsidRDefault="007011B0" w:rsidP="00C760D8">
            <w:pPr>
              <w:rPr>
                <w:rFonts w:ascii="Arial" w:hAnsi="Arial" w:cs="Arial"/>
              </w:rPr>
            </w:pPr>
          </w:p>
        </w:tc>
      </w:tr>
      <w:tr w:rsidR="00ED4717" w14:paraId="1E1A2DEA" w14:textId="77777777" w:rsidTr="05FFD336">
        <w:trPr>
          <w:trHeight w:val="223"/>
        </w:trPr>
        <w:tc>
          <w:tcPr>
            <w:tcW w:w="10918" w:type="dxa"/>
            <w:gridSpan w:val="5"/>
            <w:shd w:val="clear" w:color="auto" w:fill="E7E6E6" w:themeFill="background2"/>
          </w:tcPr>
          <w:p w14:paraId="7145CEC4" w14:textId="53465515" w:rsidR="007C04B3" w:rsidRPr="00C62A1F" w:rsidRDefault="00ED4717" w:rsidP="007C04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Purpose of the role:</w:t>
            </w:r>
            <w:r w:rsidR="00C760D8" w:rsidRPr="00C62A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4717" w14:paraId="4CB4AFA6" w14:textId="77777777" w:rsidTr="05FFD336">
        <w:tc>
          <w:tcPr>
            <w:tcW w:w="10918" w:type="dxa"/>
            <w:gridSpan w:val="5"/>
          </w:tcPr>
          <w:p w14:paraId="6F989C65" w14:textId="2FE28D70" w:rsidR="00E227BC" w:rsidRPr="00C62A1F" w:rsidRDefault="00CC1634" w:rsidP="00EF2B05">
            <w:pPr>
              <w:rPr>
                <w:rFonts w:cstheme="minorHAnsi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Manag</w:t>
            </w:r>
            <w:r w:rsidR="00235D37" w:rsidRPr="00C62A1F">
              <w:rPr>
                <w:rFonts w:ascii="Arial" w:hAnsi="Arial" w:cs="Arial"/>
                <w:sz w:val="20"/>
                <w:szCs w:val="20"/>
              </w:rPr>
              <w:t>e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the different </w:t>
            </w:r>
            <w:r w:rsidR="00235D37" w:rsidRPr="00C62A1F">
              <w:rPr>
                <w:rFonts w:ascii="Arial" w:hAnsi="Arial" w:cs="Arial"/>
                <w:sz w:val="20"/>
                <w:szCs w:val="20"/>
              </w:rPr>
              <w:t>stage</w:t>
            </w:r>
            <w:r w:rsidR="008C79B4" w:rsidRPr="00C62A1F">
              <w:rPr>
                <w:rFonts w:ascii="Arial" w:hAnsi="Arial" w:cs="Arial"/>
                <w:sz w:val="20"/>
                <w:szCs w:val="20"/>
              </w:rPr>
              <w:t>s</w:t>
            </w:r>
            <w:r w:rsidR="00235D37" w:rsidRPr="00C62A1F">
              <w:rPr>
                <w:rFonts w:ascii="Arial" w:hAnsi="Arial" w:cs="Arial"/>
                <w:sz w:val="20"/>
                <w:szCs w:val="20"/>
              </w:rPr>
              <w:t xml:space="preserve"> of the</w:t>
            </w:r>
            <w:r w:rsidR="00294ED5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302" w:rsidRPr="00C62A1F">
              <w:rPr>
                <w:rFonts w:ascii="Arial" w:hAnsi="Arial" w:cs="Arial"/>
                <w:sz w:val="20"/>
                <w:szCs w:val="20"/>
              </w:rPr>
              <w:t xml:space="preserve">building safety </w:t>
            </w:r>
            <w:r w:rsidR="00294ED5" w:rsidRPr="00C62A1F">
              <w:rPr>
                <w:rFonts w:ascii="Arial" w:hAnsi="Arial" w:cs="Arial"/>
                <w:sz w:val="20"/>
                <w:szCs w:val="20"/>
              </w:rPr>
              <w:t>gateway</w:t>
            </w:r>
            <w:r w:rsidR="00035302" w:rsidRPr="00C62A1F">
              <w:rPr>
                <w:rFonts w:ascii="Arial" w:hAnsi="Arial" w:cs="Arial"/>
                <w:sz w:val="20"/>
                <w:szCs w:val="20"/>
              </w:rPr>
              <w:t>s</w:t>
            </w:r>
            <w:r w:rsidR="00294ED5" w:rsidRPr="00C62A1F">
              <w:rPr>
                <w:rFonts w:ascii="Arial" w:hAnsi="Arial" w:cs="Arial"/>
                <w:sz w:val="20"/>
                <w:szCs w:val="20"/>
              </w:rPr>
              <w:t xml:space="preserve">, acting as the responsible person between Thirteen and </w:t>
            </w:r>
            <w:r w:rsidR="008C79B4" w:rsidRPr="00C62A1F">
              <w:rPr>
                <w:rFonts w:ascii="Arial" w:hAnsi="Arial" w:cs="Arial"/>
                <w:sz w:val="20"/>
                <w:szCs w:val="20"/>
              </w:rPr>
              <w:t xml:space="preserve">the Building Safety Regulator. </w:t>
            </w:r>
            <w:r w:rsidR="00920B52" w:rsidRPr="00C62A1F">
              <w:rPr>
                <w:rFonts w:ascii="Arial" w:hAnsi="Arial" w:cs="Arial"/>
                <w:sz w:val="20"/>
                <w:szCs w:val="20"/>
              </w:rPr>
              <w:t>P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rovide a quality </w:t>
            </w:r>
            <w:r w:rsidR="000765A9" w:rsidRPr="00C62A1F">
              <w:rPr>
                <w:rFonts w:ascii="Arial" w:hAnsi="Arial" w:cs="Arial"/>
                <w:sz w:val="20"/>
                <w:szCs w:val="20"/>
              </w:rPr>
              <w:t>and compliance inspection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 service across </w:t>
            </w:r>
            <w:r w:rsidR="00F32605" w:rsidRPr="00C62A1F">
              <w:rPr>
                <w:rFonts w:ascii="Arial" w:hAnsi="Arial" w:cs="Arial"/>
                <w:sz w:val="20"/>
                <w:szCs w:val="20"/>
              </w:rPr>
              <w:t>a high volume</w:t>
            </w:r>
            <w:r w:rsidR="000765A9" w:rsidRPr="00C62A1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32605" w:rsidRPr="00C62A1F">
              <w:rPr>
                <w:rFonts w:ascii="Arial" w:hAnsi="Arial" w:cs="Arial"/>
                <w:sz w:val="20"/>
                <w:szCs w:val="20"/>
              </w:rPr>
              <w:t>diverse</w:t>
            </w:r>
            <w:r w:rsidR="0038669C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605" w:rsidRPr="00C62A1F">
              <w:rPr>
                <w:rFonts w:ascii="Arial" w:hAnsi="Arial" w:cs="Arial"/>
                <w:sz w:val="20"/>
                <w:szCs w:val="20"/>
              </w:rPr>
              <w:t>and geographically dispersed</w:t>
            </w:r>
            <w:r w:rsidR="00461D86" w:rsidRPr="00C62A1F">
              <w:rPr>
                <w:rFonts w:ascii="Arial" w:hAnsi="Arial" w:cs="Arial"/>
                <w:sz w:val="20"/>
                <w:szCs w:val="20"/>
              </w:rPr>
              <w:t xml:space="preserve"> portfolio</w:t>
            </w:r>
            <w:r w:rsidR="005508C1" w:rsidRPr="00C62A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40CD" w:rsidRPr="00C62A1F">
              <w:rPr>
                <w:rFonts w:ascii="Arial" w:hAnsi="Arial" w:cs="Arial"/>
                <w:sz w:val="20"/>
                <w:szCs w:val="20"/>
              </w:rPr>
              <w:t>in line</w:t>
            </w:r>
            <w:r w:rsidR="005508C1" w:rsidRPr="00C62A1F">
              <w:rPr>
                <w:rFonts w:ascii="Arial" w:hAnsi="Arial" w:cs="Arial"/>
                <w:sz w:val="20"/>
                <w:szCs w:val="20"/>
              </w:rPr>
              <w:t xml:space="preserve"> with regulatory </w:t>
            </w:r>
            <w:r w:rsidR="001D1E00" w:rsidRPr="00C62A1F">
              <w:rPr>
                <w:rFonts w:ascii="Arial" w:hAnsi="Arial" w:cs="Arial"/>
                <w:sz w:val="20"/>
                <w:szCs w:val="20"/>
              </w:rPr>
              <w:t>frameworks</w:t>
            </w:r>
            <w:r w:rsidR="00D140CD" w:rsidRPr="00C62A1F">
              <w:rPr>
                <w:rFonts w:ascii="Arial" w:hAnsi="Arial" w:cs="Arial"/>
                <w:sz w:val="20"/>
                <w:szCs w:val="20"/>
              </w:rPr>
              <w:t>, to</w:t>
            </w:r>
            <w:r w:rsidR="004D3899" w:rsidRPr="00C62A1F">
              <w:rPr>
                <w:rFonts w:ascii="Arial" w:hAnsi="Arial" w:cs="Arial"/>
                <w:sz w:val="20"/>
                <w:szCs w:val="20"/>
              </w:rPr>
              <w:t xml:space="preserve"> ensure Thirteen remain legal, safe and compliant. </w:t>
            </w:r>
          </w:p>
        </w:tc>
      </w:tr>
      <w:tr w:rsidR="00ED4717" w14:paraId="57555D4D" w14:textId="77777777" w:rsidTr="05FFD336">
        <w:tc>
          <w:tcPr>
            <w:tcW w:w="10918" w:type="dxa"/>
            <w:gridSpan w:val="5"/>
            <w:shd w:val="clear" w:color="auto" w:fill="E7E6E6" w:themeFill="background2"/>
          </w:tcPr>
          <w:p w14:paraId="41B85302" w14:textId="29FC689F" w:rsidR="00E227BC" w:rsidRPr="00C62A1F" w:rsidRDefault="00ED4717" w:rsidP="00E227B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Key accountabilities</w:t>
            </w:r>
            <w:r w:rsidR="00D257CD" w:rsidRPr="00C62A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2A1F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D257CD" w:rsidRPr="00C62A1F">
              <w:rPr>
                <w:rFonts w:ascii="Arial" w:hAnsi="Arial" w:cs="Arial"/>
                <w:b/>
                <w:sz w:val="20"/>
                <w:szCs w:val="20"/>
              </w:rPr>
              <w:t>job content</w:t>
            </w:r>
            <w:r w:rsidRPr="00C62A1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760D8" w:rsidRPr="00C62A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4717" w14:paraId="190E546F" w14:textId="77777777" w:rsidTr="05FFD336">
        <w:tc>
          <w:tcPr>
            <w:tcW w:w="10918" w:type="dxa"/>
            <w:gridSpan w:val="5"/>
          </w:tcPr>
          <w:p w14:paraId="0C045DC4" w14:textId="1C32D3F8" w:rsidR="00C15E4E" w:rsidRPr="00C62A1F" w:rsidRDefault="00C15E4E" w:rsidP="001E2A88">
            <w:pPr>
              <w:pStyle w:val="ListParagraph"/>
              <w:numPr>
                <w:ilvl w:val="0"/>
                <w:numId w:val="15"/>
              </w:numPr>
              <w:ind w:left="313" w:hanging="324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To fulfil the requirements as set out within the Tier 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>5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role profile</w:t>
            </w:r>
            <w:r w:rsidR="008E3D94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066704" w14:textId="07CFC8EF" w:rsidR="00AA2B18" w:rsidRPr="00C62A1F" w:rsidRDefault="009C131B" w:rsidP="00316368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P</w:t>
            </w:r>
            <w:r w:rsidR="00AA2B18" w:rsidRPr="00C62A1F">
              <w:rPr>
                <w:rFonts w:ascii="Arial" w:hAnsi="Arial" w:cs="Arial"/>
                <w:sz w:val="20"/>
                <w:szCs w:val="20"/>
              </w:rPr>
              <w:t>rovide advice on the safety and standard of all buildings</w:t>
            </w:r>
            <w:r w:rsidR="0038669C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EF4DA7" w14:textId="683583DC" w:rsidR="00082788" w:rsidRPr="00C62A1F" w:rsidRDefault="00EF2B05" w:rsidP="001E2A88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Assist in the preparation, review, authorisation, and execution of Permit to Works</w:t>
            </w:r>
            <w:r w:rsidR="003B026D" w:rsidRPr="00C62A1F">
              <w:rPr>
                <w:rFonts w:ascii="Arial" w:hAnsi="Arial" w:cs="Arial"/>
                <w:sz w:val="20"/>
                <w:szCs w:val="20"/>
              </w:rPr>
              <w:t>,</w:t>
            </w:r>
            <w:r w:rsidR="005C2E9D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A1F">
              <w:rPr>
                <w:rFonts w:ascii="Arial" w:hAnsi="Arial" w:cs="Arial"/>
                <w:sz w:val="20"/>
                <w:szCs w:val="20"/>
              </w:rPr>
              <w:t>Wayleaves</w:t>
            </w:r>
            <w:r w:rsidR="003B026D" w:rsidRPr="00C62A1F">
              <w:rPr>
                <w:rFonts w:ascii="Arial" w:hAnsi="Arial" w:cs="Arial"/>
                <w:sz w:val="20"/>
                <w:szCs w:val="20"/>
              </w:rPr>
              <w:t xml:space="preserve"> and other </w:t>
            </w:r>
            <w:r w:rsidR="000A7D06" w:rsidRPr="00C62A1F">
              <w:rPr>
                <w:rFonts w:ascii="Arial" w:hAnsi="Arial" w:cs="Arial"/>
                <w:sz w:val="20"/>
                <w:szCs w:val="20"/>
              </w:rPr>
              <w:t>high-risk</w:t>
            </w:r>
            <w:r w:rsidR="003B026D" w:rsidRPr="00C62A1F">
              <w:rPr>
                <w:rFonts w:ascii="Arial" w:hAnsi="Arial" w:cs="Arial"/>
                <w:sz w:val="20"/>
                <w:szCs w:val="20"/>
              </w:rPr>
              <w:t xml:space="preserve"> activities, including associated risk assessments and operating procedure reviews.</w:t>
            </w:r>
          </w:p>
          <w:p w14:paraId="4414891D" w14:textId="7B3756C6" w:rsidR="00FB755A" w:rsidRPr="00C62A1F" w:rsidRDefault="002D428A" w:rsidP="00FB755A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Provide rigorous inspection of building regulations requirements, ensuring that building safety is considered at each stage of design and construction</w:t>
            </w:r>
            <w:r w:rsidR="00CA6C4C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28F7D9" w14:textId="7EA736BB" w:rsidR="006D13D5" w:rsidRPr="00CF65D7" w:rsidRDefault="003B026D" w:rsidP="001E2A88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Ensure works comply with legislative</w:t>
            </w:r>
            <w:r w:rsidR="00C22C6F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 and</w:t>
            </w:r>
            <w:r w:rsidR="00F564AE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regulatory requirements in relation, but not limited to</w:t>
            </w:r>
            <w:r w:rsidR="0038669C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specifications,</w:t>
            </w:r>
            <w:r w:rsidR="00C22C6F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="006D13D5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drawings</w:t>
            </w:r>
            <w:r w:rsidR="00337AA9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, </w:t>
            </w:r>
            <w:r w:rsidR="00C22C6F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warrant</w:t>
            </w:r>
            <w:r w:rsidR="00396918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y</w:t>
            </w:r>
            <w:r w:rsidR="00C22C6F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 standards</w:t>
            </w:r>
            <w:r w:rsidR="00C87C79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, </w:t>
            </w:r>
            <w:r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schedule of works</w:t>
            </w:r>
            <w:r w:rsidR="00C87C79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 and </w:t>
            </w:r>
            <w:r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competency</w:t>
            </w:r>
            <w:r w:rsidR="006D13D5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 xml:space="preserve"> </w:t>
            </w:r>
            <w:r w:rsidR="00C87C79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and to a high standard</w:t>
            </w:r>
            <w:r w:rsidR="008628BE" w:rsidRPr="00CF65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  <w:t>.</w:t>
            </w:r>
          </w:p>
          <w:p w14:paraId="7B0987D9" w14:textId="42DC2B2A" w:rsidR="006D13D5" w:rsidRPr="00C62A1F" w:rsidRDefault="006D13D5" w:rsidP="001E2A8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13" w:right="240" w:hanging="3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2A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</w:t>
            </w:r>
            <w:r w:rsidR="007E23A0" w:rsidRPr="00C62A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ensure </w:t>
            </w:r>
            <w:r w:rsidRPr="00C62A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elements of construction are in accordance with the relevant regulations, Codes of Practice, British Standards and the Contract Documents; with specific attention given to fire safety.</w:t>
            </w:r>
          </w:p>
          <w:p w14:paraId="288F13CA" w14:textId="1AD7AC19" w:rsidR="00FB755A" w:rsidRPr="00C62A1F" w:rsidRDefault="00FB755A" w:rsidP="001E2A8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13" w:right="240" w:hanging="3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Ensure a consistently high standard of quality control, building &amp; fire safety, and supervision is maintained on an allocated workload of bespoke projects including M&amp;E/infrastructure projects. </w:t>
            </w:r>
          </w:p>
          <w:p w14:paraId="06CCF899" w14:textId="60CF19F7" w:rsidR="00084AC2" w:rsidRPr="00C62A1F" w:rsidRDefault="00084AC2" w:rsidP="00D140C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left="313" w:right="240" w:hanging="357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Responsible for</w:t>
            </w:r>
            <w:r w:rsidR="0004042B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F37" w:rsidRPr="00C62A1F">
              <w:rPr>
                <w:rFonts w:ascii="Arial" w:hAnsi="Arial" w:cs="Arial"/>
                <w:sz w:val="20"/>
                <w:szCs w:val="20"/>
              </w:rPr>
              <w:t>identifying outstanding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works</w:t>
            </w:r>
            <w:r w:rsidR="00A720AA" w:rsidRPr="00C62A1F">
              <w:rPr>
                <w:rFonts w:ascii="Arial" w:hAnsi="Arial" w:cs="Arial"/>
                <w:sz w:val="20"/>
                <w:szCs w:val="20"/>
              </w:rPr>
              <w:t>,</w:t>
            </w:r>
            <w:r w:rsidR="004D123B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302" w:rsidRPr="00C62A1F">
              <w:rPr>
                <w:rFonts w:ascii="Arial" w:hAnsi="Arial" w:cs="Arial"/>
                <w:sz w:val="20"/>
                <w:szCs w:val="20"/>
              </w:rPr>
              <w:t>following progress of o</w:t>
            </w:r>
            <w:r w:rsidR="00A720AA" w:rsidRPr="00C62A1F">
              <w:rPr>
                <w:rFonts w:ascii="Arial" w:hAnsi="Arial" w:cs="Arial"/>
                <w:sz w:val="20"/>
                <w:szCs w:val="20"/>
              </w:rPr>
              <w:t xml:space="preserve">utstanding </w:t>
            </w:r>
            <w:r w:rsidR="00582AA4" w:rsidRPr="00C62A1F">
              <w:rPr>
                <w:rFonts w:ascii="Arial" w:hAnsi="Arial" w:cs="Arial"/>
                <w:sz w:val="20"/>
                <w:szCs w:val="20"/>
              </w:rPr>
              <w:t>works until completion</w:t>
            </w:r>
            <w:r w:rsidR="00083C70" w:rsidRPr="00C62A1F">
              <w:rPr>
                <w:rFonts w:ascii="Arial" w:hAnsi="Arial" w:cs="Arial"/>
                <w:sz w:val="20"/>
                <w:szCs w:val="20"/>
              </w:rPr>
              <w:t>,</w:t>
            </w:r>
            <w:r w:rsidR="00F45565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A1F">
              <w:rPr>
                <w:rFonts w:ascii="Arial" w:hAnsi="Arial" w:cs="Arial"/>
                <w:sz w:val="20"/>
                <w:szCs w:val="20"/>
              </w:rPr>
              <w:t>ensur</w:t>
            </w:r>
            <w:r w:rsidR="007E7714" w:rsidRPr="00C62A1F">
              <w:rPr>
                <w:rFonts w:ascii="Arial" w:hAnsi="Arial" w:cs="Arial"/>
                <w:sz w:val="20"/>
                <w:szCs w:val="20"/>
              </w:rPr>
              <w:t>ing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all items are rectified</w:t>
            </w:r>
            <w:r w:rsidR="000245BC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65A84A" w14:textId="042410C5" w:rsidR="005D68AC" w:rsidRPr="00CF65D7" w:rsidRDefault="005D68AC" w:rsidP="001E2A88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65D7">
              <w:rPr>
                <w:rFonts w:ascii="Arial" w:hAnsi="Arial" w:cs="Arial"/>
                <w:sz w:val="20"/>
                <w:szCs w:val="20"/>
                <w:highlight w:val="yellow"/>
              </w:rPr>
              <w:t>Responsible for flagging</w:t>
            </w:r>
            <w:r w:rsidR="40386F31"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compliance</w:t>
            </w:r>
            <w:r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trends with </w:t>
            </w:r>
            <w:r w:rsidR="007D0DA1" w:rsidRPr="00CF65D7">
              <w:rPr>
                <w:rFonts w:ascii="Arial" w:hAnsi="Arial" w:cs="Arial"/>
                <w:sz w:val="20"/>
                <w:szCs w:val="20"/>
                <w:highlight w:val="yellow"/>
              </w:rPr>
              <w:t>manager</w:t>
            </w:r>
            <w:r w:rsidR="007878F0" w:rsidRPr="00CF65D7">
              <w:rPr>
                <w:rFonts w:ascii="Arial" w:hAnsi="Arial" w:cs="Arial"/>
                <w:sz w:val="20"/>
                <w:szCs w:val="20"/>
                <w:highlight w:val="yellow"/>
              </w:rPr>
              <w:t>, taking on board learnings and feeding these back to</w:t>
            </w:r>
            <w:r w:rsidR="00035302"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</w:t>
            </w:r>
            <w:r w:rsidR="007D0DA1" w:rsidRPr="00CF65D7">
              <w:rPr>
                <w:rFonts w:ascii="Arial" w:hAnsi="Arial" w:cs="Arial"/>
                <w:sz w:val="20"/>
                <w:szCs w:val="20"/>
                <w:highlight w:val="yellow"/>
              </w:rPr>
              <w:t>takeholders</w:t>
            </w:r>
            <w:r w:rsidR="007878F0"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</w:p>
          <w:p w14:paraId="0440619B" w14:textId="7DB40422" w:rsidR="0014648B" w:rsidRPr="00CF65D7" w:rsidDel="00DC2A90" w:rsidRDefault="008738A8" w:rsidP="00C55D3A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65D7"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14648B" w:rsidRPr="00CF65D7">
              <w:rPr>
                <w:rFonts w:ascii="Arial" w:hAnsi="Arial" w:cs="Arial"/>
                <w:sz w:val="20"/>
                <w:szCs w:val="20"/>
                <w:highlight w:val="yellow"/>
              </w:rPr>
              <w:t>repar</w:t>
            </w:r>
            <w:r w:rsidR="00CA6C4C" w:rsidRPr="00CF65D7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 w:rsidR="0014648B"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records</w:t>
            </w:r>
            <w:r w:rsidRPr="00CF65D7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14648B"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schedules</w:t>
            </w:r>
            <w:r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reports to evidence </w:t>
            </w:r>
            <w:r w:rsidR="00DB3AFE" w:rsidRPr="00CF65D7">
              <w:rPr>
                <w:rFonts w:ascii="Arial" w:hAnsi="Arial" w:cs="Arial"/>
                <w:sz w:val="20"/>
                <w:szCs w:val="20"/>
                <w:highlight w:val="yellow"/>
              </w:rPr>
              <w:t>works carried out,</w:t>
            </w:r>
            <w:r w:rsidR="00ED5504"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including rectifications</w:t>
            </w:r>
            <w:r w:rsidR="00FE54F7" w:rsidRPr="00CF65D7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DC2A90"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(as part of the Golden Thread) to ensure responsible person(s) are informed on service delivery, compliance, ongoing maintenance and performance.</w:t>
            </w:r>
          </w:p>
          <w:p w14:paraId="0069ACB3" w14:textId="77DB4A2A" w:rsidR="00084AC2" w:rsidRPr="00C62A1F" w:rsidRDefault="00084AC2" w:rsidP="001E2A88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337AA9" w:rsidRPr="00C62A1F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contractors comply with obligations contained with the relevant contract documentation and report any deviations 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>as appropriate</w:t>
            </w:r>
            <w:r w:rsidR="00301F8B" w:rsidRPr="00C62A1F">
              <w:rPr>
                <w:rFonts w:ascii="Arial" w:hAnsi="Arial" w:cs="Arial"/>
                <w:sz w:val="20"/>
                <w:szCs w:val="20"/>
              </w:rPr>
              <w:t>, taking into consideration the Building Safety Gateways and golden thread of information requirements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18203F" w14:textId="5AD2B599" w:rsidR="0070144F" w:rsidRPr="00C62A1F" w:rsidRDefault="00F32605" w:rsidP="001E2A88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Maintain and update knowledge of legislation, product innovation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>,</w:t>
            </w:r>
            <w:r w:rsidR="00B31944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technology 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 xml:space="preserve">and varying Local Authority approaches, 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regularly </w:t>
            </w:r>
            <w:r w:rsidR="00301F8B" w:rsidRPr="00C62A1F">
              <w:rPr>
                <w:rFonts w:ascii="Arial" w:hAnsi="Arial" w:cs="Arial"/>
                <w:sz w:val="20"/>
                <w:szCs w:val="20"/>
              </w:rPr>
              <w:t xml:space="preserve">briefing </w:t>
            </w:r>
            <w:r w:rsidRPr="00C62A1F">
              <w:rPr>
                <w:rFonts w:ascii="Arial" w:hAnsi="Arial" w:cs="Arial"/>
                <w:sz w:val="20"/>
                <w:szCs w:val="20"/>
              </w:rPr>
              <w:t>colleagues where appropriate</w:t>
            </w:r>
            <w:r w:rsidR="00301F8B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7BCA58" w14:textId="03F1CE4E" w:rsidR="00337AA9" w:rsidRPr="00C62A1F" w:rsidRDefault="00EF2B05" w:rsidP="001E2A88">
            <w:pPr>
              <w:numPr>
                <w:ilvl w:val="0"/>
                <w:numId w:val="11"/>
              </w:numPr>
              <w:ind w:left="313" w:hanging="357"/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1C054B" w:rsidRPr="00C62A1F">
              <w:rPr>
                <w:rFonts w:ascii="Arial" w:hAnsi="Arial" w:cs="Arial"/>
                <w:sz w:val="20"/>
                <w:szCs w:val="20"/>
              </w:rPr>
              <w:t>in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prepar</w:t>
            </w:r>
            <w:r w:rsidR="0072167A" w:rsidRPr="00C62A1F">
              <w:rPr>
                <w:rFonts w:ascii="Arial" w:hAnsi="Arial" w:cs="Arial"/>
                <w:sz w:val="20"/>
                <w:szCs w:val="20"/>
              </w:rPr>
              <w:t>ing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258B" w:rsidRPr="00C62A1F">
              <w:rPr>
                <w:rFonts w:ascii="Arial" w:hAnsi="Arial" w:cs="Arial"/>
                <w:sz w:val="20"/>
                <w:szCs w:val="20"/>
              </w:rPr>
              <w:t>and updat</w:t>
            </w:r>
            <w:r w:rsidR="0072167A" w:rsidRPr="00C62A1F">
              <w:rPr>
                <w:rFonts w:ascii="Arial" w:hAnsi="Arial" w:cs="Arial"/>
                <w:sz w:val="20"/>
                <w:szCs w:val="20"/>
              </w:rPr>
              <w:t>ing</w:t>
            </w:r>
            <w:r w:rsidR="00F4258B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2A1F">
              <w:rPr>
                <w:rFonts w:ascii="Arial" w:hAnsi="Arial" w:cs="Arial"/>
                <w:sz w:val="20"/>
                <w:szCs w:val="20"/>
              </w:rPr>
              <w:t>relevant documentation for Building Safety Case Files</w:t>
            </w:r>
            <w:r w:rsidR="00301F8B" w:rsidRPr="00C62A1F">
              <w:rPr>
                <w:rFonts w:ascii="Arial" w:hAnsi="Arial" w:cs="Arial"/>
                <w:sz w:val="20"/>
                <w:szCs w:val="20"/>
              </w:rPr>
              <w:t xml:space="preserve"> and keeping asset and compliance data up to date.</w:t>
            </w:r>
          </w:p>
        </w:tc>
      </w:tr>
      <w:tr w:rsidR="00ED4717" w14:paraId="3C5EF784" w14:textId="77777777" w:rsidTr="05FFD336">
        <w:trPr>
          <w:trHeight w:val="214"/>
        </w:trPr>
        <w:tc>
          <w:tcPr>
            <w:tcW w:w="10918" w:type="dxa"/>
            <w:gridSpan w:val="5"/>
            <w:shd w:val="clear" w:color="auto" w:fill="E7E6E6" w:themeFill="background2"/>
          </w:tcPr>
          <w:p w14:paraId="55C9DE38" w14:textId="38125763" w:rsidR="00ED4717" w:rsidRPr="00C62A1F" w:rsidRDefault="00ED4717" w:rsidP="00E22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  <w:r w:rsidR="00E227BC" w:rsidRPr="00C62A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4717" w14:paraId="4B148F45" w14:textId="77777777" w:rsidTr="05FFD336">
        <w:tc>
          <w:tcPr>
            <w:tcW w:w="10918" w:type="dxa"/>
            <w:gridSpan w:val="5"/>
          </w:tcPr>
          <w:p w14:paraId="2FB57260" w14:textId="77777777" w:rsidR="000C7D97" w:rsidRPr="00CF65D7" w:rsidRDefault="00084AC2" w:rsidP="00084AC2">
            <w:pPr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CF65D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Member of the Institute of Clerk of Works or willing to work towards </w:t>
            </w:r>
          </w:p>
          <w:p w14:paraId="7D7CDE86" w14:textId="2234F928" w:rsidR="00877CDC" w:rsidRPr="00C62A1F" w:rsidRDefault="000C7D97" w:rsidP="00A268FE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HNC Building </w:t>
            </w:r>
            <w:r w:rsidR="00B93B67" w:rsidRPr="00C62A1F">
              <w:rPr>
                <w:rFonts w:ascii="Arial" w:hAnsi="Arial" w:cs="Arial"/>
                <w:sz w:val="20"/>
                <w:szCs w:val="20"/>
              </w:rPr>
              <w:t>S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tudies or equivalent </w:t>
            </w:r>
            <w:r w:rsidR="007E23A0" w:rsidRPr="00C62A1F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 w:rsidRPr="00C62A1F">
              <w:rPr>
                <w:rFonts w:ascii="Arial" w:hAnsi="Arial" w:cs="Arial"/>
                <w:sz w:val="20"/>
                <w:szCs w:val="20"/>
              </w:rPr>
              <w:t>relevant experience</w:t>
            </w:r>
            <w:r w:rsidR="00D56CEE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F23CD5" w14:textId="711DA027" w:rsidR="00D56CEE" w:rsidRPr="00C62A1F" w:rsidRDefault="00D56CEE" w:rsidP="006E0FE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NEBOSH/SSTS/IOSH qualified or willing to work towards</w:t>
            </w:r>
            <w:r w:rsidR="00F4258B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760D8" w14:paraId="5A6FAC7F" w14:textId="77777777" w:rsidTr="05FFD336">
        <w:tc>
          <w:tcPr>
            <w:tcW w:w="10918" w:type="dxa"/>
            <w:gridSpan w:val="5"/>
            <w:shd w:val="clear" w:color="auto" w:fill="E7E6E6" w:themeFill="background2"/>
          </w:tcPr>
          <w:p w14:paraId="35D228B0" w14:textId="0662127C" w:rsidR="00C760D8" w:rsidRPr="00C62A1F" w:rsidRDefault="00C760D8" w:rsidP="00E71D0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color w:val="000000"/>
                <w:sz w:val="20"/>
                <w:szCs w:val="20"/>
              </w:rPr>
              <w:t>Knowledge, skills and experience</w:t>
            </w:r>
            <w:r w:rsidR="000D75BA" w:rsidRPr="00C62A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E71D01" w14:paraId="3F03A592" w14:textId="77777777" w:rsidTr="05FFD336">
        <w:tc>
          <w:tcPr>
            <w:tcW w:w="10918" w:type="dxa"/>
            <w:gridSpan w:val="5"/>
            <w:shd w:val="clear" w:color="auto" w:fill="FFFFFF" w:themeFill="background1"/>
          </w:tcPr>
          <w:p w14:paraId="5234C75A" w14:textId="77777777" w:rsidR="00035302" w:rsidRPr="00C62A1F" w:rsidRDefault="00654418" w:rsidP="00442C7D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D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>emonstra</w:t>
            </w:r>
            <w:r w:rsidRPr="00C62A1F">
              <w:rPr>
                <w:rFonts w:ascii="Arial" w:hAnsi="Arial" w:cs="Arial"/>
                <w:sz w:val="20"/>
                <w:szCs w:val="20"/>
              </w:rPr>
              <w:t>ble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 recent experience working with </w:t>
            </w:r>
            <w:r w:rsidR="00301F8B" w:rsidRPr="00C62A1F">
              <w:rPr>
                <w:rFonts w:ascii="Arial" w:hAnsi="Arial" w:cs="Arial"/>
                <w:sz w:val="20"/>
                <w:szCs w:val="20"/>
              </w:rPr>
              <w:t xml:space="preserve">infrastructure installation, M&amp;E, 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>new build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>, design and build,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 and residential designs (including modern methods of construction)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01F8B" w:rsidRPr="00C62A1F">
              <w:rPr>
                <w:rFonts w:ascii="Arial" w:hAnsi="Arial" w:cs="Arial"/>
                <w:sz w:val="20"/>
                <w:szCs w:val="20"/>
              </w:rPr>
              <w:t xml:space="preserve">refurbishment of 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>High Rise/ Complex Buildings.</w:t>
            </w:r>
            <w:r w:rsidR="00D36373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EDA4EE" w14:textId="4BECB050" w:rsidR="00442C7D" w:rsidRPr="00C62A1F" w:rsidRDefault="00D36373" w:rsidP="00442C7D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Knowledge of the social housing environment is desirable. </w:t>
            </w:r>
          </w:p>
          <w:p w14:paraId="12AD3D9E" w14:textId="3600A6BA" w:rsidR="00035302" w:rsidRPr="00C62A1F" w:rsidRDefault="00035302" w:rsidP="00442C7D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Knowledge of the building safety act and all pertaining regulations.</w:t>
            </w:r>
          </w:p>
          <w:p w14:paraId="68B47C54" w14:textId="3513B2C1" w:rsidR="00442C7D" w:rsidRPr="00C62A1F" w:rsidRDefault="00654418" w:rsidP="00442C7D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Extensive 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>experience in the buil</w:t>
            </w:r>
            <w:r w:rsidR="00337AA9" w:rsidRPr="00C62A1F">
              <w:rPr>
                <w:rFonts w:ascii="Arial" w:hAnsi="Arial" w:cs="Arial"/>
                <w:sz w:val="20"/>
                <w:szCs w:val="20"/>
              </w:rPr>
              <w:t>t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 xml:space="preserve"> environment to include contractor management, procurement methods, </w:t>
            </w:r>
            <w:r w:rsidR="00955BFD" w:rsidRPr="00C62A1F">
              <w:rPr>
                <w:rFonts w:ascii="Arial" w:hAnsi="Arial" w:cs="Arial"/>
                <w:sz w:val="20"/>
                <w:szCs w:val="20"/>
              </w:rPr>
              <w:t xml:space="preserve">CDM regulations, 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9D7478" w:rsidRPr="00C62A1F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>administration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, along with </w:t>
            </w:r>
            <w:r w:rsidR="00301F8B" w:rsidRPr="00C62A1F">
              <w:rPr>
                <w:rFonts w:ascii="Arial" w:hAnsi="Arial" w:cs="Arial"/>
                <w:sz w:val="20"/>
                <w:szCs w:val="20"/>
              </w:rPr>
              <w:t>high risk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and infrastructure </w:t>
            </w:r>
            <w:r w:rsidR="00D140CD" w:rsidRPr="00C62A1F">
              <w:rPr>
                <w:rFonts w:ascii="Arial" w:hAnsi="Arial" w:cs="Arial"/>
                <w:sz w:val="20"/>
                <w:szCs w:val="20"/>
              </w:rPr>
              <w:t>projects.</w:t>
            </w:r>
          </w:p>
          <w:p w14:paraId="26A6CEC5" w14:textId="7E0F8B94" w:rsidR="00161C11" w:rsidRPr="00C62A1F" w:rsidRDefault="00FA6D16" w:rsidP="00442C7D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P</w:t>
            </w:r>
            <w:r w:rsidR="00161C11" w:rsidRPr="00C62A1F">
              <w:rPr>
                <w:rFonts w:ascii="Arial" w:hAnsi="Arial" w:cs="Arial"/>
                <w:sz w:val="20"/>
                <w:szCs w:val="20"/>
              </w:rPr>
              <w:t>roactive and innovative mindset to overcome problems which may be presented</w:t>
            </w:r>
            <w:r w:rsidR="00CA6C4C" w:rsidRPr="00C62A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2AE07E" w14:textId="73B980FF" w:rsidR="00B93B67" w:rsidRPr="00C62A1F" w:rsidRDefault="00AC72D9" w:rsidP="000245BC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D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emonstrate knowledge of 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Health &amp; Safety </w:t>
            </w:r>
            <w:r w:rsidRPr="00C62A1F">
              <w:rPr>
                <w:rFonts w:ascii="Arial" w:hAnsi="Arial" w:cs="Arial"/>
                <w:sz w:val="20"/>
                <w:szCs w:val="20"/>
              </w:rPr>
              <w:t>with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1713B5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>excellent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 understanding of</w:t>
            </w:r>
            <w:r w:rsidR="00912861" w:rsidRPr="00C62A1F">
              <w:rPr>
                <w:rFonts w:ascii="Arial" w:hAnsi="Arial" w:cs="Arial"/>
                <w:sz w:val="20"/>
                <w:szCs w:val="20"/>
              </w:rPr>
              <w:t>, and developments in,</w:t>
            </w:r>
            <w:r w:rsidR="00084AC2" w:rsidRPr="00C62A1F">
              <w:rPr>
                <w:rFonts w:ascii="Arial" w:hAnsi="Arial" w:cs="Arial"/>
                <w:sz w:val="20"/>
                <w:szCs w:val="20"/>
              </w:rPr>
              <w:t xml:space="preserve"> Building Regulations</w:t>
            </w:r>
            <w:r w:rsidR="00442C7D" w:rsidRPr="00C62A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67" w:rsidRPr="00C62A1F">
              <w:rPr>
                <w:rFonts w:ascii="Arial" w:hAnsi="Arial" w:cs="Arial"/>
                <w:sz w:val="20"/>
                <w:szCs w:val="20"/>
              </w:rPr>
              <w:t>F</w:t>
            </w:r>
            <w:r w:rsidR="00D31CCC" w:rsidRPr="00C62A1F">
              <w:rPr>
                <w:rFonts w:ascii="Arial" w:hAnsi="Arial" w:cs="Arial"/>
                <w:sz w:val="20"/>
                <w:szCs w:val="20"/>
              </w:rPr>
              <w:t xml:space="preserve">ire 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 xml:space="preserve">&amp; Building </w:t>
            </w:r>
            <w:r w:rsidR="00B93B67" w:rsidRPr="00C62A1F">
              <w:rPr>
                <w:rFonts w:ascii="Arial" w:hAnsi="Arial" w:cs="Arial"/>
                <w:sz w:val="20"/>
                <w:szCs w:val="20"/>
              </w:rPr>
              <w:t>S</w:t>
            </w:r>
            <w:r w:rsidR="00D31CCC" w:rsidRPr="00C62A1F">
              <w:rPr>
                <w:rFonts w:ascii="Arial" w:hAnsi="Arial" w:cs="Arial"/>
                <w:sz w:val="20"/>
                <w:szCs w:val="20"/>
              </w:rPr>
              <w:t xml:space="preserve">afety, </w:t>
            </w:r>
            <w:r w:rsidR="00C3526F" w:rsidRPr="00C62A1F">
              <w:rPr>
                <w:rFonts w:ascii="Arial" w:hAnsi="Arial" w:cs="Arial"/>
                <w:sz w:val="20"/>
                <w:szCs w:val="20"/>
              </w:rPr>
              <w:t xml:space="preserve">MMC and sustainability. </w:t>
            </w:r>
          </w:p>
          <w:p w14:paraId="6DAE4876" w14:textId="0BF41C47" w:rsidR="001F6478" w:rsidRPr="00C62A1F" w:rsidRDefault="009D7478" w:rsidP="0038669C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5FFD336">
              <w:rPr>
                <w:rFonts w:ascii="Arial" w:hAnsi="Arial" w:cs="Arial"/>
                <w:sz w:val="20"/>
                <w:szCs w:val="20"/>
              </w:rPr>
              <w:t>Ability to manage conflict</w:t>
            </w:r>
            <w:r w:rsidR="00912861" w:rsidRPr="05FFD336">
              <w:rPr>
                <w:rFonts w:ascii="Arial" w:hAnsi="Arial" w:cs="Arial"/>
                <w:sz w:val="20"/>
                <w:szCs w:val="20"/>
              </w:rPr>
              <w:t xml:space="preserve"> and provide constructive challenge from a perspective of seeking excellence and compliance in design, construction, complex fire safety, and refurbishment</w:t>
            </w:r>
            <w:r w:rsidRPr="05FFD33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38C78D1" w14:textId="05B818EB" w:rsidR="001F6478" w:rsidRPr="00C62A1F" w:rsidRDefault="6B21AA6C" w:rsidP="05FFD336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33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Full UK driving licence or access to a vehicle and able to travel across the region as required</w:t>
            </w:r>
          </w:p>
        </w:tc>
      </w:tr>
      <w:tr w:rsidR="000D75BA" w14:paraId="5B9AECB6" w14:textId="77777777" w:rsidTr="05FFD336">
        <w:trPr>
          <w:trHeight w:val="289"/>
        </w:trPr>
        <w:tc>
          <w:tcPr>
            <w:tcW w:w="10918" w:type="dxa"/>
            <w:gridSpan w:val="5"/>
            <w:shd w:val="clear" w:color="auto" w:fill="E7E6E6" w:themeFill="background2"/>
          </w:tcPr>
          <w:p w14:paraId="61B443D3" w14:textId="1F7BCDA8" w:rsidR="007011B0" w:rsidRPr="00C62A1F" w:rsidRDefault="000D75BA" w:rsidP="000D75B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 xml:space="preserve">Role requirements and demands: </w:t>
            </w:r>
          </w:p>
        </w:tc>
      </w:tr>
      <w:tr w:rsidR="00084AC2" w14:paraId="2D7C822B" w14:textId="77777777" w:rsidTr="05FFD336">
        <w:trPr>
          <w:trHeight w:val="431"/>
        </w:trPr>
        <w:tc>
          <w:tcPr>
            <w:tcW w:w="2411" w:type="dxa"/>
            <w:gridSpan w:val="2"/>
            <w:shd w:val="clear" w:color="auto" w:fill="E7E6E6" w:themeFill="background2"/>
          </w:tcPr>
          <w:p w14:paraId="6177F402" w14:textId="77777777" w:rsidR="00084AC2" w:rsidRPr="00C62A1F" w:rsidRDefault="00084AC2" w:rsidP="0008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Solving problems: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079" w14:textId="448EBE05" w:rsidR="00084AC2" w:rsidRPr="00C62A1F" w:rsidRDefault="00DC494D" w:rsidP="00084AC2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Day to day, localised problem solving that includes the consideration of a number of issues and requires the analysis of information or situations.</w:t>
            </w:r>
          </w:p>
        </w:tc>
      </w:tr>
      <w:tr w:rsidR="00084AC2" w14:paraId="0070AC4D" w14:textId="77777777" w:rsidTr="05FFD336">
        <w:trPr>
          <w:trHeight w:val="409"/>
        </w:trPr>
        <w:tc>
          <w:tcPr>
            <w:tcW w:w="2411" w:type="dxa"/>
            <w:gridSpan w:val="2"/>
            <w:shd w:val="clear" w:color="auto" w:fill="E7E6E6" w:themeFill="background2"/>
          </w:tcPr>
          <w:p w14:paraId="1C9A67CA" w14:textId="77777777" w:rsidR="00084AC2" w:rsidRPr="00C62A1F" w:rsidRDefault="00084AC2" w:rsidP="0008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Making decisions:</w:t>
            </w:r>
          </w:p>
          <w:p w14:paraId="6A8C84C0" w14:textId="77777777" w:rsidR="00084AC2" w:rsidRPr="00C62A1F" w:rsidRDefault="00084AC2" w:rsidP="00084A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7E9" w14:textId="43120DE1" w:rsidR="00084AC2" w:rsidRPr="00C62A1F" w:rsidRDefault="00084AC2" w:rsidP="00084AC2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 xml:space="preserve">Day to day, localised decision making that involves the interpretation and application of policies, procedures, </w:t>
            </w:r>
            <w:r w:rsidR="00125BEF" w:rsidRPr="00C62A1F">
              <w:rPr>
                <w:rFonts w:ascii="Arial" w:hAnsi="Arial" w:cs="Arial"/>
                <w:sz w:val="20"/>
                <w:szCs w:val="20"/>
              </w:rPr>
              <w:t>guidelines,</w:t>
            </w:r>
            <w:r w:rsidRPr="00C62A1F">
              <w:rPr>
                <w:rFonts w:ascii="Arial" w:hAnsi="Arial" w:cs="Arial"/>
                <w:sz w:val="20"/>
                <w:szCs w:val="20"/>
              </w:rPr>
              <w:t xml:space="preserve"> and criteria to specific situations and can impact upon others.</w:t>
            </w:r>
            <w:r w:rsidR="00125BEF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4AC2" w14:paraId="1697F4FF" w14:textId="77777777" w:rsidTr="05FFD336">
        <w:trPr>
          <w:trHeight w:val="431"/>
        </w:trPr>
        <w:tc>
          <w:tcPr>
            <w:tcW w:w="2411" w:type="dxa"/>
            <w:gridSpan w:val="2"/>
            <w:shd w:val="clear" w:color="auto" w:fill="E7E6E6" w:themeFill="background2"/>
          </w:tcPr>
          <w:p w14:paraId="7D8EB39A" w14:textId="77777777" w:rsidR="00084AC2" w:rsidRPr="00C62A1F" w:rsidRDefault="00084AC2" w:rsidP="0008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Communicating:</w:t>
            </w:r>
          </w:p>
          <w:p w14:paraId="668D0C89" w14:textId="77777777" w:rsidR="00084AC2" w:rsidRPr="00C62A1F" w:rsidRDefault="00084AC2" w:rsidP="00084A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EF8" w14:textId="43286733" w:rsidR="00BA2FC2" w:rsidRPr="00C62A1F" w:rsidRDefault="00084AC2" w:rsidP="00084AC2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Provides information on complicated matters. Uses tailored communication skills in relation to specialist/technical issues where required.</w:t>
            </w:r>
            <w:r w:rsidR="00D56CEE" w:rsidRPr="00C62A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4AC2" w14:paraId="5DBAA264" w14:textId="77777777" w:rsidTr="05FFD336">
        <w:trPr>
          <w:trHeight w:val="570"/>
        </w:trPr>
        <w:tc>
          <w:tcPr>
            <w:tcW w:w="2411" w:type="dxa"/>
            <w:gridSpan w:val="2"/>
            <w:shd w:val="clear" w:color="auto" w:fill="E7E6E6" w:themeFill="background2"/>
          </w:tcPr>
          <w:p w14:paraId="5E9E9741" w14:textId="77777777" w:rsidR="00084AC2" w:rsidRPr="00C62A1F" w:rsidRDefault="00084AC2" w:rsidP="0008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Financial responsibility: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2E8" w14:textId="69A24304" w:rsidR="00084AC2" w:rsidRPr="00C62A1F" w:rsidRDefault="00084AC2" w:rsidP="00084AC2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084AC2" w14:paraId="42A962D6" w14:textId="77777777" w:rsidTr="05FFD336">
        <w:trPr>
          <w:trHeight w:val="570"/>
        </w:trPr>
        <w:tc>
          <w:tcPr>
            <w:tcW w:w="2411" w:type="dxa"/>
            <w:gridSpan w:val="2"/>
            <w:shd w:val="clear" w:color="auto" w:fill="E7E6E6" w:themeFill="background2"/>
          </w:tcPr>
          <w:p w14:paraId="5BF4B470" w14:textId="77777777" w:rsidR="00084AC2" w:rsidRPr="00C62A1F" w:rsidRDefault="00084AC2" w:rsidP="00084A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A1F">
              <w:rPr>
                <w:rFonts w:ascii="Arial" w:hAnsi="Arial" w:cs="Arial"/>
                <w:b/>
                <w:sz w:val="20"/>
                <w:szCs w:val="20"/>
              </w:rPr>
              <w:t>People management responsibility: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000" w14:textId="03CC8763" w:rsidR="00084AC2" w:rsidRPr="00C62A1F" w:rsidRDefault="00084AC2" w:rsidP="00084AC2">
            <w:pPr>
              <w:rPr>
                <w:rFonts w:ascii="Arial" w:hAnsi="Arial" w:cs="Arial"/>
                <w:sz w:val="20"/>
                <w:szCs w:val="20"/>
              </w:rPr>
            </w:pPr>
            <w:r w:rsidRPr="00C62A1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7741867A" w14:textId="77777777" w:rsidR="00E65A28" w:rsidRDefault="00E65A28"/>
    <w:p w14:paraId="0DE46F48" w14:textId="77777777" w:rsidR="001E6DB4" w:rsidRDefault="001E6D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4F66" w14:paraId="2FC1342E" w14:textId="77777777" w:rsidTr="00024F6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44BEC9E" w14:textId="77777777" w:rsidR="00174F66" w:rsidRPr="00C00A45" w:rsidRDefault="00174F66" w:rsidP="00024F64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 Reward Team use only</w:t>
            </w:r>
          </w:p>
        </w:tc>
      </w:tr>
      <w:tr w:rsidR="00174F66" w14:paraId="71D73B08" w14:textId="77777777" w:rsidTr="00024F64">
        <w:tc>
          <w:tcPr>
            <w:tcW w:w="4508" w:type="dxa"/>
          </w:tcPr>
          <w:p w14:paraId="21FB86D4" w14:textId="42847668" w:rsidR="00174F66" w:rsidRPr="00C00A45" w:rsidRDefault="00174F66" w:rsidP="00024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Version </w:t>
            </w:r>
            <w:r w:rsidR="00745B97">
              <w:rPr>
                <w:rFonts w:ascii="Arial" w:hAnsi="Arial" w:cs="Arial"/>
              </w:rPr>
              <w:t>2</w:t>
            </w:r>
          </w:p>
        </w:tc>
        <w:tc>
          <w:tcPr>
            <w:tcW w:w="4508" w:type="dxa"/>
          </w:tcPr>
          <w:p w14:paraId="49703CBF" w14:textId="1267E154" w:rsidR="00174F66" w:rsidRPr="00C00A45" w:rsidRDefault="00745B97" w:rsidP="00024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25</w:t>
            </w:r>
          </w:p>
        </w:tc>
      </w:tr>
    </w:tbl>
    <w:p w14:paraId="4E9DC79E" w14:textId="77777777" w:rsidR="001E6DB4" w:rsidRDefault="001E6DB4"/>
    <w:sectPr w:rsidR="001E6DB4" w:rsidSect="0019094D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8B0D" w14:textId="77777777" w:rsidR="0019094D" w:rsidRDefault="0019094D" w:rsidP="004959B2">
      <w:pPr>
        <w:spacing w:after="0" w:line="240" w:lineRule="auto"/>
      </w:pPr>
      <w:r>
        <w:separator/>
      </w:r>
    </w:p>
  </w:endnote>
  <w:endnote w:type="continuationSeparator" w:id="0">
    <w:p w14:paraId="5687DEFA" w14:textId="77777777" w:rsidR="0019094D" w:rsidRDefault="0019094D" w:rsidP="004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D404" w14:textId="77777777" w:rsidR="0019094D" w:rsidRDefault="0019094D" w:rsidP="004959B2">
      <w:pPr>
        <w:spacing w:after="0" w:line="240" w:lineRule="auto"/>
      </w:pPr>
      <w:r>
        <w:separator/>
      </w:r>
    </w:p>
  </w:footnote>
  <w:footnote w:type="continuationSeparator" w:id="0">
    <w:p w14:paraId="724E3405" w14:textId="77777777" w:rsidR="0019094D" w:rsidRDefault="0019094D" w:rsidP="0049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88F"/>
    <w:multiLevelType w:val="hybridMultilevel"/>
    <w:tmpl w:val="C99E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1FF"/>
    <w:multiLevelType w:val="hybridMultilevel"/>
    <w:tmpl w:val="CE26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E95"/>
    <w:multiLevelType w:val="hybridMultilevel"/>
    <w:tmpl w:val="28E411CE"/>
    <w:lvl w:ilvl="0" w:tplc="B06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45E6"/>
    <w:multiLevelType w:val="hybridMultilevel"/>
    <w:tmpl w:val="89BA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3A9"/>
    <w:multiLevelType w:val="hybridMultilevel"/>
    <w:tmpl w:val="1A1C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715C0"/>
    <w:multiLevelType w:val="multilevel"/>
    <w:tmpl w:val="4DC0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B4A66"/>
    <w:multiLevelType w:val="hybridMultilevel"/>
    <w:tmpl w:val="8ED28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D098E"/>
    <w:multiLevelType w:val="hybridMultilevel"/>
    <w:tmpl w:val="85A6B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352B4"/>
    <w:multiLevelType w:val="hybridMultilevel"/>
    <w:tmpl w:val="17406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AC6C54"/>
    <w:multiLevelType w:val="multilevel"/>
    <w:tmpl w:val="380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57D0C"/>
    <w:multiLevelType w:val="hybridMultilevel"/>
    <w:tmpl w:val="EBBE5C18"/>
    <w:lvl w:ilvl="0" w:tplc="B0649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527575">
    <w:abstractNumId w:val="7"/>
  </w:num>
  <w:num w:numId="2" w16cid:durableId="805662245">
    <w:abstractNumId w:val="6"/>
  </w:num>
  <w:num w:numId="3" w16cid:durableId="1430857268">
    <w:abstractNumId w:val="10"/>
  </w:num>
  <w:num w:numId="4" w16cid:durableId="132601691">
    <w:abstractNumId w:val="10"/>
  </w:num>
  <w:num w:numId="5" w16cid:durableId="1554921562">
    <w:abstractNumId w:val="6"/>
  </w:num>
  <w:num w:numId="6" w16cid:durableId="1733305143">
    <w:abstractNumId w:val="3"/>
  </w:num>
  <w:num w:numId="7" w16cid:durableId="1731998145">
    <w:abstractNumId w:val="2"/>
  </w:num>
  <w:num w:numId="8" w16cid:durableId="633414044">
    <w:abstractNumId w:val="4"/>
  </w:num>
  <w:num w:numId="9" w16cid:durableId="1037923561">
    <w:abstractNumId w:val="10"/>
  </w:num>
  <w:num w:numId="10" w16cid:durableId="2041927949">
    <w:abstractNumId w:val="10"/>
  </w:num>
  <w:num w:numId="11" w16cid:durableId="218370936">
    <w:abstractNumId w:val="9"/>
  </w:num>
  <w:num w:numId="12" w16cid:durableId="122889433">
    <w:abstractNumId w:val="5"/>
  </w:num>
  <w:num w:numId="13" w16cid:durableId="1523979586">
    <w:abstractNumId w:val="8"/>
  </w:num>
  <w:num w:numId="14" w16cid:durableId="2043044013">
    <w:abstractNumId w:val="1"/>
  </w:num>
  <w:num w:numId="15" w16cid:durableId="29186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7D"/>
    <w:rsid w:val="0000589A"/>
    <w:rsid w:val="00021824"/>
    <w:rsid w:val="000234ED"/>
    <w:rsid w:val="000245BC"/>
    <w:rsid w:val="00035302"/>
    <w:rsid w:val="0004042B"/>
    <w:rsid w:val="00070CFE"/>
    <w:rsid w:val="000740B6"/>
    <w:rsid w:val="000765A9"/>
    <w:rsid w:val="0007724C"/>
    <w:rsid w:val="00080046"/>
    <w:rsid w:val="00082788"/>
    <w:rsid w:val="0008352E"/>
    <w:rsid w:val="00083B93"/>
    <w:rsid w:val="00083C70"/>
    <w:rsid w:val="00084AC2"/>
    <w:rsid w:val="00090CD3"/>
    <w:rsid w:val="000936D6"/>
    <w:rsid w:val="000A6654"/>
    <w:rsid w:val="000A7D06"/>
    <w:rsid w:val="000B48AF"/>
    <w:rsid w:val="000C7D97"/>
    <w:rsid w:val="000D5F26"/>
    <w:rsid w:val="000D75BA"/>
    <w:rsid w:val="000E7E9E"/>
    <w:rsid w:val="000F1DA1"/>
    <w:rsid w:val="001221BB"/>
    <w:rsid w:val="00123A5C"/>
    <w:rsid w:val="00125BEF"/>
    <w:rsid w:val="00133ACA"/>
    <w:rsid w:val="00144B87"/>
    <w:rsid w:val="00146479"/>
    <w:rsid w:val="0014648B"/>
    <w:rsid w:val="00153FB2"/>
    <w:rsid w:val="00161C11"/>
    <w:rsid w:val="001713B5"/>
    <w:rsid w:val="00174F66"/>
    <w:rsid w:val="0019094D"/>
    <w:rsid w:val="001A2ABF"/>
    <w:rsid w:val="001B7F60"/>
    <w:rsid w:val="001C054B"/>
    <w:rsid w:val="001D1E00"/>
    <w:rsid w:val="001D36DC"/>
    <w:rsid w:val="001E2A88"/>
    <w:rsid w:val="001E6DB4"/>
    <w:rsid w:val="001F6478"/>
    <w:rsid w:val="00202D68"/>
    <w:rsid w:val="002216A4"/>
    <w:rsid w:val="0022677E"/>
    <w:rsid w:val="00231E4B"/>
    <w:rsid w:val="00235D37"/>
    <w:rsid w:val="002452CE"/>
    <w:rsid w:val="00261B7E"/>
    <w:rsid w:val="00272F4F"/>
    <w:rsid w:val="00287B49"/>
    <w:rsid w:val="00294ED5"/>
    <w:rsid w:val="002A155F"/>
    <w:rsid w:val="002A16FE"/>
    <w:rsid w:val="002A4171"/>
    <w:rsid w:val="002A54A4"/>
    <w:rsid w:val="002C6FEB"/>
    <w:rsid w:val="002D391C"/>
    <w:rsid w:val="002D428A"/>
    <w:rsid w:val="002E68E0"/>
    <w:rsid w:val="00301F8B"/>
    <w:rsid w:val="003054F1"/>
    <w:rsid w:val="00310A5A"/>
    <w:rsid w:val="0031542F"/>
    <w:rsid w:val="00316368"/>
    <w:rsid w:val="00337AA9"/>
    <w:rsid w:val="003507AC"/>
    <w:rsid w:val="00374E88"/>
    <w:rsid w:val="0038669C"/>
    <w:rsid w:val="00396918"/>
    <w:rsid w:val="003B026D"/>
    <w:rsid w:val="00403AC7"/>
    <w:rsid w:val="00442C7D"/>
    <w:rsid w:val="004571F9"/>
    <w:rsid w:val="00461D86"/>
    <w:rsid w:val="004675E5"/>
    <w:rsid w:val="00467D64"/>
    <w:rsid w:val="00472D50"/>
    <w:rsid w:val="004959B2"/>
    <w:rsid w:val="004A11C0"/>
    <w:rsid w:val="004A5F45"/>
    <w:rsid w:val="004B1341"/>
    <w:rsid w:val="004B4211"/>
    <w:rsid w:val="004C3D2A"/>
    <w:rsid w:val="004D123B"/>
    <w:rsid w:val="004D3899"/>
    <w:rsid w:val="004F0E55"/>
    <w:rsid w:val="004F2F09"/>
    <w:rsid w:val="004F6E79"/>
    <w:rsid w:val="00502C7B"/>
    <w:rsid w:val="00525092"/>
    <w:rsid w:val="0055001C"/>
    <w:rsid w:val="005507F1"/>
    <w:rsid w:val="005508C1"/>
    <w:rsid w:val="00582846"/>
    <w:rsid w:val="00582AA4"/>
    <w:rsid w:val="005C2E9D"/>
    <w:rsid w:val="005D68AC"/>
    <w:rsid w:val="005E4DF0"/>
    <w:rsid w:val="005F382C"/>
    <w:rsid w:val="0060790C"/>
    <w:rsid w:val="00620289"/>
    <w:rsid w:val="00631A57"/>
    <w:rsid w:val="00654418"/>
    <w:rsid w:val="00681647"/>
    <w:rsid w:val="006A7077"/>
    <w:rsid w:val="006C3C37"/>
    <w:rsid w:val="006C7049"/>
    <w:rsid w:val="006D13D5"/>
    <w:rsid w:val="006D5D83"/>
    <w:rsid w:val="006D716E"/>
    <w:rsid w:val="006E0FE0"/>
    <w:rsid w:val="006F33DC"/>
    <w:rsid w:val="007011B0"/>
    <w:rsid w:val="0070144F"/>
    <w:rsid w:val="00701F76"/>
    <w:rsid w:val="0072167A"/>
    <w:rsid w:val="0074455D"/>
    <w:rsid w:val="00745B97"/>
    <w:rsid w:val="007624A0"/>
    <w:rsid w:val="00763D61"/>
    <w:rsid w:val="007878F0"/>
    <w:rsid w:val="00791F17"/>
    <w:rsid w:val="007B3D50"/>
    <w:rsid w:val="007C04B3"/>
    <w:rsid w:val="007D0DA1"/>
    <w:rsid w:val="007E23A0"/>
    <w:rsid w:val="007E7714"/>
    <w:rsid w:val="00805D7F"/>
    <w:rsid w:val="00811921"/>
    <w:rsid w:val="00831608"/>
    <w:rsid w:val="008347E5"/>
    <w:rsid w:val="00837199"/>
    <w:rsid w:val="00844C51"/>
    <w:rsid w:val="00845707"/>
    <w:rsid w:val="0085146F"/>
    <w:rsid w:val="00851DB6"/>
    <w:rsid w:val="00855FC7"/>
    <w:rsid w:val="008628BE"/>
    <w:rsid w:val="00867D1B"/>
    <w:rsid w:val="00872110"/>
    <w:rsid w:val="008738A8"/>
    <w:rsid w:val="008765D1"/>
    <w:rsid w:val="00877CDC"/>
    <w:rsid w:val="008935AB"/>
    <w:rsid w:val="008C79B4"/>
    <w:rsid w:val="008D7ABC"/>
    <w:rsid w:val="008E356C"/>
    <w:rsid w:val="008E3D94"/>
    <w:rsid w:val="008E675B"/>
    <w:rsid w:val="009044B3"/>
    <w:rsid w:val="00906167"/>
    <w:rsid w:val="00912861"/>
    <w:rsid w:val="00915DF2"/>
    <w:rsid w:val="00920B52"/>
    <w:rsid w:val="0092621E"/>
    <w:rsid w:val="009400E2"/>
    <w:rsid w:val="00951AD8"/>
    <w:rsid w:val="00951F02"/>
    <w:rsid w:val="00955BFD"/>
    <w:rsid w:val="00975E2D"/>
    <w:rsid w:val="00975F12"/>
    <w:rsid w:val="009C131B"/>
    <w:rsid w:val="009C5C0A"/>
    <w:rsid w:val="009D1CB8"/>
    <w:rsid w:val="009D7478"/>
    <w:rsid w:val="009E1E58"/>
    <w:rsid w:val="009F29AC"/>
    <w:rsid w:val="009F7235"/>
    <w:rsid w:val="00A12A04"/>
    <w:rsid w:val="00A1529C"/>
    <w:rsid w:val="00A17932"/>
    <w:rsid w:val="00A268FE"/>
    <w:rsid w:val="00A27367"/>
    <w:rsid w:val="00A41DCF"/>
    <w:rsid w:val="00A457FF"/>
    <w:rsid w:val="00A46467"/>
    <w:rsid w:val="00A46692"/>
    <w:rsid w:val="00A55DAE"/>
    <w:rsid w:val="00A720AA"/>
    <w:rsid w:val="00A75EA9"/>
    <w:rsid w:val="00A83632"/>
    <w:rsid w:val="00AA1C45"/>
    <w:rsid w:val="00AA2B18"/>
    <w:rsid w:val="00AA7F37"/>
    <w:rsid w:val="00AC72D9"/>
    <w:rsid w:val="00AD2835"/>
    <w:rsid w:val="00B00215"/>
    <w:rsid w:val="00B04952"/>
    <w:rsid w:val="00B07663"/>
    <w:rsid w:val="00B31944"/>
    <w:rsid w:val="00B33C8A"/>
    <w:rsid w:val="00B838FD"/>
    <w:rsid w:val="00B93B67"/>
    <w:rsid w:val="00BA2FC2"/>
    <w:rsid w:val="00BC5C6C"/>
    <w:rsid w:val="00BE44D1"/>
    <w:rsid w:val="00BE4A4B"/>
    <w:rsid w:val="00BF29B2"/>
    <w:rsid w:val="00C0641E"/>
    <w:rsid w:val="00C13DF3"/>
    <w:rsid w:val="00C15E4E"/>
    <w:rsid w:val="00C173AE"/>
    <w:rsid w:val="00C22C6F"/>
    <w:rsid w:val="00C256B1"/>
    <w:rsid w:val="00C2614D"/>
    <w:rsid w:val="00C3526F"/>
    <w:rsid w:val="00C36BC8"/>
    <w:rsid w:val="00C37730"/>
    <w:rsid w:val="00C41926"/>
    <w:rsid w:val="00C55D3A"/>
    <w:rsid w:val="00C62A1F"/>
    <w:rsid w:val="00C6682C"/>
    <w:rsid w:val="00C760D8"/>
    <w:rsid w:val="00C8563A"/>
    <w:rsid w:val="00C87C79"/>
    <w:rsid w:val="00C90059"/>
    <w:rsid w:val="00C91649"/>
    <w:rsid w:val="00CA6C4C"/>
    <w:rsid w:val="00CC1634"/>
    <w:rsid w:val="00CD5012"/>
    <w:rsid w:val="00CE1CA1"/>
    <w:rsid w:val="00CF65D7"/>
    <w:rsid w:val="00D003C9"/>
    <w:rsid w:val="00D03F60"/>
    <w:rsid w:val="00D140CD"/>
    <w:rsid w:val="00D218D4"/>
    <w:rsid w:val="00D257CD"/>
    <w:rsid w:val="00D31CCC"/>
    <w:rsid w:val="00D32CDC"/>
    <w:rsid w:val="00D36373"/>
    <w:rsid w:val="00D56CEE"/>
    <w:rsid w:val="00D6266C"/>
    <w:rsid w:val="00D81F3C"/>
    <w:rsid w:val="00D84798"/>
    <w:rsid w:val="00D86949"/>
    <w:rsid w:val="00D9206E"/>
    <w:rsid w:val="00D97DA7"/>
    <w:rsid w:val="00DB3AFE"/>
    <w:rsid w:val="00DB3BFC"/>
    <w:rsid w:val="00DC2A90"/>
    <w:rsid w:val="00DC494D"/>
    <w:rsid w:val="00DC6EC3"/>
    <w:rsid w:val="00DD237D"/>
    <w:rsid w:val="00DF19D7"/>
    <w:rsid w:val="00E227BC"/>
    <w:rsid w:val="00E25C0A"/>
    <w:rsid w:val="00E53547"/>
    <w:rsid w:val="00E64857"/>
    <w:rsid w:val="00E65A28"/>
    <w:rsid w:val="00E71D01"/>
    <w:rsid w:val="00E908B2"/>
    <w:rsid w:val="00E90D34"/>
    <w:rsid w:val="00EA0843"/>
    <w:rsid w:val="00EB2ABA"/>
    <w:rsid w:val="00EC7971"/>
    <w:rsid w:val="00ED4717"/>
    <w:rsid w:val="00ED5504"/>
    <w:rsid w:val="00EF2B05"/>
    <w:rsid w:val="00F03040"/>
    <w:rsid w:val="00F32605"/>
    <w:rsid w:val="00F402CE"/>
    <w:rsid w:val="00F4258B"/>
    <w:rsid w:val="00F45565"/>
    <w:rsid w:val="00F564AE"/>
    <w:rsid w:val="00F7183E"/>
    <w:rsid w:val="00F85E94"/>
    <w:rsid w:val="00FA2E9D"/>
    <w:rsid w:val="00FA6D16"/>
    <w:rsid w:val="00FB5A7C"/>
    <w:rsid w:val="00FB755A"/>
    <w:rsid w:val="00FC52B4"/>
    <w:rsid w:val="00FE15D5"/>
    <w:rsid w:val="00FE54F7"/>
    <w:rsid w:val="05FFD336"/>
    <w:rsid w:val="1CB583EE"/>
    <w:rsid w:val="40386F31"/>
    <w:rsid w:val="6B21AA6C"/>
    <w:rsid w:val="6F3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66B4"/>
  <w15:chartTrackingRefBased/>
  <w15:docId w15:val="{CA45EB16-E919-424F-9A1A-783E8047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D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0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4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>Thirteen Group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Joynes</dc:creator>
  <cp:keywords/>
  <dc:description/>
  <cp:lastModifiedBy>Georgia Hare</cp:lastModifiedBy>
  <cp:revision>3</cp:revision>
  <cp:lastPrinted>2017-10-02T05:32:00Z</cp:lastPrinted>
  <dcterms:created xsi:type="dcterms:W3CDTF">2025-04-15T08:30:00Z</dcterms:created>
  <dcterms:modified xsi:type="dcterms:W3CDTF">2025-04-15T08:30:00Z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0x01010078E6628075B92A4C822E354F01FBD9E0</vt:lpwstr>
  </property>
  <property fmtid="{D5CDD505-2E9C-101B-9397-08002B2CF9AE}" pid="3" name="Order">
    <vt:r8>4147600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SIP_Label_431b7639-1bea-4e62-9a4e-16db8092c254_Enabled">
    <vt:lpwstr>true</vt:lpwstr>
  </property>
  <property fmtid="{D5CDD505-2E9C-101B-9397-08002B2CF9AE}" pid="7" name="MSIP_Label_431b7639-1bea-4e62-9a4e-16db8092c254_SetDate">
    <vt:lpwstr>2021-07-15T09:10:03Z</vt:lpwstr>
  </property>
  <property fmtid="{D5CDD505-2E9C-101B-9397-08002B2CF9AE}" pid="8" name="MSIP_Label_431b7639-1bea-4e62-9a4e-16db8092c254_Method">
    <vt:lpwstr>Standard</vt:lpwstr>
  </property>
  <property fmtid="{D5CDD505-2E9C-101B-9397-08002B2CF9AE}" pid="9" name="MSIP_Label_431b7639-1bea-4e62-9a4e-16db8092c254_Name">
    <vt:lpwstr>OFFICIAL</vt:lpwstr>
  </property>
  <property fmtid="{D5CDD505-2E9C-101B-9397-08002B2CF9AE}" pid="10" name="MSIP_Label_431b7639-1bea-4e62-9a4e-16db8092c254_SiteId">
    <vt:lpwstr>d9f19db2-65c6-4c0b-aecf-45abeba37c6f</vt:lpwstr>
  </property>
  <property fmtid="{D5CDD505-2E9C-101B-9397-08002B2CF9AE}" pid="11" name="MSIP_Label_431b7639-1bea-4e62-9a4e-16db8092c254_ActionId">
    <vt:lpwstr>4bb1e9bb-43f8-47e3-9ba9-39db0bc36b59</vt:lpwstr>
  </property>
  <property fmtid="{D5CDD505-2E9C-101B-9397-08002B2CF9AE}" pid="12" name="MSIP_Label_431b7639-1bea-4e62-9a4e-16db8092c254_ContentBits">
    <vt:lpwstr>0</vt:lpwstr>
  </property>
  <property fmtid="{D5CDD505-2E9C-101B-9397-08002B2CF9AE}" pid="13" name="MediaServiceImageTags">
    <vt:lpwstr/>
  </property>
</Properties>
</file>