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240" w:after="120"/>
        <w:rPr>
          <w:rFonts w:ascii="Arial" w:hAnsi="Arial" w:cs="Arial"/>
          <w:b/>
          <w:b/>
          <w:bCs/>
          <w:color w:val="00AE43"/>
          <w:sz w:val="24"/>
          <w:szCs w:val="24"/>
        </w:rPr>
      </w:pPr>
      <w:r>
        <w:drawing>
          <wp:anchor behindDoc="1" distT="0" distB="0" distL="114300" distR="0" simplePos="0" locked="0" layoutInCell="1" allowOverlap="1" relativeHeight="6">
            <wp:simplePos x="0" y="0"/>
            <wp:positionH relativeFrom="rightMargin">
              <wp:posOffset>0</wp:posOffset>
            </wp:positionH>
            <wp:positionV relativeFrom="page">
              <wp:align>top</wp:align>
            </wp:positionV>
            <wp:extent cx="1511300" cy="79184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3" t="-45" r="-23" b="-45"/>
                    <a:stretch>
                      <a:fillRect/>
                    </a:stretch>
                  </pic:blipFill>
                  <pic:spPr bwMode="auto">
                    <a:xfrm>
                      <a:off x="0" y="0"/>
                      <a:ext cx="1511300" cy="791845"/>
                    </a:xfrm>
                    <a:prstGeom prst="rect">
                      <a:avLst/>
                    </a:prstGeom>
                  </pic:spPr>
                </pic:pic>
              </a:graphicData>
            </a:graphic>
          </wp:anchor>
        </w:drawing>
      </w:r>
      <w:r>
        <w:rPr>
          <w:rFonts w:cs="Arial" w:ascii="Arial" w:hAnsi="Arial"/>
          <w:b/>
          <w:bCs/>
          <w:color w:val="00AE43"/>
          <w:sz w:val="24"/>
          <w:szCs w:val="24"/>
        </w:rPr>
        <w:t>R</w:t>
      </w:r>
      <w:r>
        <w:rPr>
          <w:rFonts w:cs="Arial" w:ascii="Arial" w:hAnsi="Arial"/>
          <w:b/>
          <w:bCs/>
          <w:color w:val="00AE43"/>
          <w:sz w:val="24"/>
          <w:szCs w:val="24"/>
        </w:rPr>
        <w:t>ole Profile</w:t>
      </w:r>
    </w:p>
    <w:p>
      <w:pPr>
        <w:pStyle w:val="Normal"/>
        <w:spacing w:before="240" w:after="120"/>
        <w:rPr>
          <w:rFonts w:ascii="Arial" w:hAnsi="Arial" w:cs="Arial"/>
          <w:b/>
          <w:b/>
          <w:bCs/>
          <w:color w:val="008A7D"/>
          <w:sz w:val="24"/>
          <w:szCs w:val="24"/>
        </w:rPr>
      </w:pPr>
      <w:r>
        <w:rPr>
          <w:rFonts w:cs="Arial" w:ascii="Arial" w:hAnsi="Arial"/>
          <w:b/>
          <w:bCs/>
          <w:color w:val="008A7D"/>
          <w:sz w:val="24"/>
          <w:szCs w:val="24"/>
        </w:rPr>
      </w:r>
    </w:p>
    <w:tbl>
      <w:tblPr>
        <w:tblW w:w="10605" w:type="dxa"/>
        <w:jc w:val="left"/>
        <w:tblInd w:w="-15" w:type="dxa"/>
        <w:tblCellMar>
          <w:top w:w="0" w:type="dxa"/>
          <w:left w:w="108" w:type="dxa"/>
          <w:bottom w:w="0" w:type="dxa"/>
          <w:right w:w="108" w:type="dxa"/>
        </w:tblCellMar>
      </w:tblPr>
      <w:tblGrid>
        <w:gridCol w:w="2694"/>
        <w:gridCol w:w="7911"/>
      </w:tblGrid>
      <w:tr>
        <w:trPr>
          <w:trHeight w:val="397" w:hRule="atLeast"/>
        </w:trPr>
        <w:tc>
          <w:tcPr>
            <w:tcW w:w="2694" w:type="dxa"/>
            <w:tcBorders>
              <w:top w:val="single" w:sz="4" w:space="0" w:color="5B9BD5"/>
              <w:left w:val="single" w:sz="4" w:space="0" w:color="5B9BD5"/>
              <w:bottom w:val="single" w:sz="4" w:space="0" w:color="5B9BD5"/>
            </w:tcBorders>
            <w:shd w:fill="009ACE" w:val="clear"/>
            <w:vAlign w:val="center"/>
          </w:tcPr>
          <w:p>
            <w:pPr>
              <w:pStyle w:val="Normal"/>
              <w:spacing w:lineRule="auto" w:line="240" w:before="0" w:after="120"/>
              <w:rPr>
                <w:rFonts w:ascii="Arial" w:hAnsi="Arial" w:eastAsia="Times New Roman" w:cs="Arial"/>
                <w:b/>
                <w:b/>
                <w:bCs/>
                <w:color w:val="FFFFFF"/>
                <w:sz w:val="24"/>
                <w:szCs w:val="24"/>
                <w:lang w:eastAsia="en-GB"/>
              </w:rPr>
            </w:pPr>
            <w:r>
              <w:rPr>
                <w:rFonts w:eastAsia="Times New Roman" w:cs="Arial" w:ascii="Arial" w:hAnsi="Arial"/>
                <w:b/>
                <w:bCs/>
                <w:color w:val="FFFFFF"/>
                <w:sz w:val="24"/>
                <w:szCs w:val="24"/>
                <w:lang w:eastAsia="en-GB"/>
              </w:rPr>
              <w:t>Role Title</w:t>
            </w:r>
          </w:p>
        </w:tc>
        <w:tc>
          <w:tcPr>
            <w:tcW w:w="7911"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spacing w:lineRule="auto" w:line="240" w:before="0" w:after="120"/>
              <w:rPr>
                <w:rFonts w:ascii="Arial" w:hAnsi="Arial" w:eastAsia="Times New Roman" w:cs="Arial"/>
                <w:color w:val="000000"/>
                <w:sz w:val="23"/>
                <w:szCs w:val="23"/>
                <w:lang w:eastAsia="en-GB"/>
              </w:rPr>
            </w:pPr>
            <w:r>
              <w:rPr>
                <w:rFonts w:eastAsia="Times New Roman" w:cs="Arial" w:ascii="Arial" w:hAnsi="Arial"/>
                <w:color w:val="000000"/>
                <w:sz w:val="23"/>
                <w:szCs w:val="23"/>
                <w:lang w:eastAsia="en-GB"/>
              </w:rPr>
              <w:t>Family Group Conference Co-ordinator</w:t>
            </w:r>
          </w:p>
        </w:tc>
      </w:tr>
      <w:tr>
        <w:trPr>
          <w:trHeight w:val="397" w:hRule="atLeast"/>
        </w:trPr>
        <w:tc>
          <w:tcPr>
            <w:tcW w:w="2694" w:type="dxa"/>
            <w:tcBorders>
              <w:top w:val="single" w:sz="4" w:space="0" w:color="5B9BD5"/>
              <w:left w:val="single" w:sz="4" w:space="0" w:color="5B9BD5"/>
              <w:bottom w:val="single" w:sz="4" w:space="0" w:color="5B9BD5"/>
            </w:tcBorders>
            <w:shd w:fill="009ACE" w:val="clear"/>
            <w:vAlign w:val="center"/>
          </w:tcPr>
          <w:p>
            <w:pPr>
              <w:pStyle w:val="Normal"/>
              <w:spacing w:lineRule="auto" w:line="240" w:before="0" w:after="120"/>
              <w:rPr>
                <w:rFonts w:ascii="Arial" w:hAnsi="Arial" w:eastAsia="Times New Roman" w:cs="Arial"/>
                <w:b/>
                <w:b/>
                <w:bCs/>
                <w:color w:val="FFFFFF"/>
                <w:sz w:val="24"/>
                <w:szCs w:val="24"/>
                <w:lang w:eastAsia="en-GB"/>
              </w:rPr>
            </w:pPr>
            <w:r>
              <w:rPr>
                <w:rFonts w:eastAsia="Times New Roman" w:cs="Arial" w:ascii="Arial" w:hAnsi="Arial"/>
                <w:b/>
                <w:bCs/>
                <w:color w:val="FFFFFF"/>
                <w:sz w:val="24"/>
                <w:szCs w:val="24"/>
                <w:lang w:eastAsia="en-GB"/>
              </w:rPr>
              <w:t>Reference Number</w:t>
            </w:r>
          </w:p>
        </w:tc>
        <w:tc>
          <w:tcPr>
            <w:tcW w:w="7911"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spacing w:lineRule="auto" w:line="240" w:before="0" w:after="120"/>
              <w:rPr>
                <w:rFonts w:ascii="Arial" w:hAnsi="Arial" w:eastAsia="Arial" w:cs="Arial"/>
                <w:sz w:val="23"/>
                <w:szCs w:val="23"/>
              </w:rPr>
            </w:pPr>
            <w:r>
              <w:rPr>
                <w:rFonts w:eastAsia="Arial" w:cs="Arial" w:ascii="Arial" w:hAnsi="Arial"/>
                <w:sz w:val="23"/>
                <w:szCs w:val="23"/>
              </w:rPr>
              <w:t>RP121</w:t>
            </w:r>
          </w:p>
        </w:tc>
      </w:tr>
      <w:tr>
        <w:trPr>
          <w:trHeight w:val="397" w:hRule="atLeast"/>
          <w:cantSplit w:val="true"/>
        </w:trPr>
        <w:tc>
          <w:tcPr>
            <w:tcW w:w="2694" w:type="dxa"/>
            <w:tcBorders>
              <w:top w:val="single" w:sz="4" w:space="0" w:color="5B9BD5"/>
              <w:left w:val="single" w:sz="4" w:space="0" w:color="5B9BD5"/>
              <w:bottom w:val="single" w:sz="4" w:space="0" w:color="5B9BD5"/>
            </w:tcBorders>
            <w:shd w:fill="009ACE" w:val="clear"/>
            <w:vAlign w:val="center"/>
          </w:tcPr>
          <w:p>
            <w:pPr>
              <w:pStyle w:val="Normal"/>
              <w:spacing w:lineRule="auto" w:line="240" w:before="0" w:after="120"/>
              <w:rPr>
                <w:rFonts w:ascii="Arial" w:hAnsi="Arial" w:eastAsia="Times New Roman" w:cs="Arial"/>
                <w:b/>
                <w:b/>
                <w:bCs/>
                <w:color w:val="FFFFFF"/>
                <w:sz w:val="24"/>
                <w:szCs w:val="24"/>
                <w:lang w:eastAsia="en-GB"/>
              </w:rPr>
            </w:pPr>
            <w:r>
              <w:rPr>
                <w:rFonts w:eastAsia="Times New Roman" w:cs="Arial" w:ascii="Arial" w:hAnsi="Arial"/>
                <w:b/>
                <w:bCs/>
                <w:color w:val="FFFFFF"/>
                <w:sz w:val="24"/>
                <w:szCs w:val="24"/>
                <w:lang w:eastAsia="en-GB"/>
              </w:rPr>
              <w:t>Cluster</w:t>
            </w:r>
          </w:p>
        </w:tc>
        <w:tc>
          <w:tcPr>
            <w:tcW w:w="7911"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spacing w:lineRule="auto" w:line="240" w:before="0" w:after="120"/>
              <w:rPr>
                <w:rFonts w:ascii="Arial" w:hAnsi="Arial" w:eastAsia="Arial" w:cs="Arial"/>
                <w:sz w:val="23"/>
                <w:szCs w:val="23"/>
              </w:rPr>
            </w:pPr>
            <w:r>
              <w:rPr>
                <w:rFonts w:eastAsia="Arial" w:cs="Arial" w:ascii="Arial" w:hAnsi="Arial"/>
                <w:sz w:val="23"/>
                <w:szCs w:val="23"/>
              </w:rPr>
              <w:t>Family Support</w:t>
            </w:r>
          </w:p>
        </w:tc>
      </w:tr>
      <w:tr>
        <w:trPr>
          <w:trHeight w:val="397" w:hRule="atLeast"/>
          <w:cantSplit w:val="true"/>
        </w:trPr>
        <w:tc>
          <w:tcPr>
            <w:tcW w:w="2694" w:type="dxa"/>
            <w:tcBorders>
              <w:top w:val="single" w:sz="4" w:space="0" w:color="5B9BD5"/>
              <w:left w:val="single" w:sz="4" w:space="0" w:color="5B9BD5"/>
              <w:bottom w:val="single" w:sz="4" w:space="0" w:color="5B9BD5"/>
            </w:tcBorders>
            <w:shd w:fill="009ACE" w:val="clear"/>
            <w:vAlign w:val="center"/>
          </w:tcPr>
          <w:p>
            <w:pPr>
              <w:pStyle w:val="Normal"/>
              <w:spacing w:lineRule="auto" w:line="240" w:before="0" w:after="120"/>
              <w:rPr>
                <w:rFonts w:ascii="Arial" w:hAnsi="Arial" w:eastAsia="Times New Roman" w:cs="Arial"/>
                <w:b/>
                <w:b/>
                <w:bCs/>
                <w:color w:val="FFFFFF"/>
                <w:sz w:val="24"/>
                <w:szCs w:val="24"/>
                <w:lang w:eastAsia="en-GB"/>
              </w:rPr>
            </w:pPr>
            <w:r>
              <w:rPr>
                <w:rFonts w:eastAsia="Times New Roman" w:cs="Arial" w:ascii="Arial" w:hAnsi="Arial"/>
                <w:b/>
                <w:bCs/>
                <w:color w:val="FFFFFF"/>
                <w:sz w:val="24"/>
                <w:szCs w:val="24"/>
                <w:lang w:eastAsia="en-GB"/>
              </w:rPr>
              <w:t>Zone of Work</w:t>
            </w:r>
          </w:p>
        </w:tc>
        <w:tc>
          <w:tcPr>
            <w:tcW w:w="7911"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spacing w:lineRule="auto" w:line="240" w:before="0" w:after="120"/>
              <w:rPr>
                <w:rFonts w:ascii="Arial" w:hAnsi="Arial" w:eastAsia="Arial" w:cs="Arial"/>
                <w:sz w:val="23"/>
                <w:szCs w:val="23"/>
              </w:rPr>
            </w:pPr>
            <w:r>
              <w:rPr>
                <w:rFonts w:eastAsia="Arial" w:cs="Arial" w:ascii="Arial" w:hAnsi="Arial"/>
                <w:sz w:val="23"/>
                <w:szCs w:val="23"/>
              </w:rPr>
              <w:t>Advisors and Supervisors</w:t>
            </w:r>
          </w:p>
        </w:tc>
      </w:tr>
      <w:tr>
        <w:trPr>
          <w:trHeight w:val="397" w:hRule="atLeast"/>
          <w:cantSplit w:val="true"/>
        </w:trPr>
        <w:tc>
          <w:tcPr>
            <w:tcW w:w="2694" w:type="dxa"/>
            <w:tcBorders>
              <w:top w:val="single" w:sz="4" w:space="0" w:color="5B9BD5"/>
              <w:left w:val="single" w:sz="4" w:space="0" w:color="5B9BD5"/>
              <w:bottom w:val="single" w:sz="4" w:space="0" w:color="5B9BD5"/>
            </w:tcBorders>
            <w:shd w:fill="009ACE" w:val="clear"/>
            <w:vAlign w:val="center"/>
          </w:tcPr>
          <w:p>
            <w:pPr>
              <w:pStyle w:val="Normal"/>
              <w:spacing w:lineRule="auto" w:line="240" w:before="0" w:after="120"/>
              <w:rPr>
                <w:rFonts w:ascii="Arial" w:hAnsi="Arial" w:eastAsia="Times New Roman" w:cs="Arial"/>
                <w:b/>
                <w:b/>
                <w:bCs/>
                <w:color w:val="FFFFFF"/>
                <w:sz w:val="24"/>
                <w:szCs w:val="24"/>
                <w:lang w:eastAsia="en-GB"/>
              </w:rPr>
            </w:pPr>
            <w:r>
              <w:rPr>
                <w:rFonts w:eastAsia="Times New Roman" w:cs="Arial" w:ascii="Arial" w:hAnsi="Arial"/>
                <w:b/>
                <w:bCs/>
                <w:color w:val="FFFFFF"/>
                <w:sz w:val="24"/>
                <w:szCs w:val="24"/>
                <w:lang w:eastAsia="en-GB"/>
              </w:rPr>
              <w:t xml:space="preserve">Job Category </w:t>
            </w:r>
          </w:p>
        </w:tc>
        <w:tc>
          <w:tcPr>
            <w:tcW w:w="7911"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spacing w:lineRule="auto" w:line="240" w:before="0" w:after="120"/>
              <w:rPr>
                <w:rFonts w:ascii="Arial" w:hAnsi="Arial" w:eastAsia="Arial" w:cs="Arial"/>
                <w:sz w:val="23"/>
                <w:szCs w:val="23"/>
              </w:rPr>
            </w:pPr>
            <w:r>
              <w:rPr>
                <w:rFonts w:eastAsia="Arial" w:cs="Arial" w:ascii="Arial" w:hAnsi="Arial"/>
                <w:sz w:val="23"/>
                <w:szCs w:val="23"/>
              </w:rPr>
              <w:t>Health, Wellbeing, and Care</w:t>
            </w:r>
          </w:p>
        </w:tc>
      </w:tr>
      <w:tr>
        <w:trPr>
          <w:trHeight w:val="397" w:hRule="atLeast"/>
          <w:cantSplit w:val="true"/>
        </w:trPr>
        <w:tc>
          <w:tcPr>
            <w:tcW w:w="2694" w:type="dxa"/>
            <w:tcBorders>
              <w:top w:val="single" w:sz="4" w:space="0" w:color="5B9BD5"/>
              <w:left w:val="single" w:sz="4" w:space="0" w:color="5B9BD5"/>
            </w:tcBorders>
            <w:shd w:fill="009ACE" w:val="clear"/>
            <w:vAlign w:val="center"/>
          </w:tcPr>
          <w:p>
            <w:pPr>
              <w:pStyle w:val="Normal"/>
              <w:spacing w:lineRule="auto" w:line="240" w:before="0" w:after="120"/>
              <w:rPr>
                <w:rFonts w:ascii="Arial" w:hAnsi="Arial" w:eastAsia="Times New Roman" w:cs="Arial"/>
                <w:b/>
                <w:b/>
                <w:bCs/>
                <w:color w:val="FFFFFF"/>
                <w:sz w:val="24"/>
                <w:szCs w:val="24"/>
                <w:lang w:eastAsia="en-GB"/>
              </w:rPr>
            </w:pPr>
            <w:r>
              <w:rPr>
                <w:rFonts w:eastAsia="Times New Roman" w:cs="Arial" w:ascii="Arial" w:hAnsi="Arial"/>
                <w:b/>
                <w:bCs/>
                <w:color w:val="FFFFFF"/>
                <w:sz w:val="24"/>
                <w:szCs w:val="24"/>
                <w:lang w:eastAsia="en-GB"/>
              </w:rPr>
              <w:t>Grade</w:t>
            </w:r>
          </w:p>
        </w:tc>
        <w:tc>
          <w:tcPr>
            <w:tcW w:w="7911"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spacing w:lineRule="auto" w:line="240" w:before="0" w:after="120"/>
              <w:rPr>
                <w:rFonts w:ascii="Arial" w:hAnsi="Arial" w:eastAsia="Arial" w:cs="Arial"/>
                <w:sz w:val="23"/>
                <w:szCs w:val="23"/>
              </w:rPr>
            </w:pPr>
            <w:r>
              <w:rPr>
                <w:rFonts w:eastAsia="Arial" w:cs="Arial" w:ascii="Arial" w:hAnsi="Arial"/>
                <w:sz w:val="23"/>
                <w:szCs w:val="23"/>
              </w:rPr>
              <w:t>7</w:t>
            </w:r>
          </w:p>
        </w:tc>
      </w:tr>
    </w:tbl>
    <w:p>
      <w:pPr>
        <w:pStyle w:val="Normal"/>
        <w:spacing w:before="240" w:after="0"/>
        <w:rPr>
          <w:rFonts w:ascii="Arial" w:hAnsi="Arial" w:cs="Arial"/>
          <w:b/>
          <w:b/>
          <w:bCs/>
          <w:color w:val="00AE43"/>
          <w:sz w:val="23"/>
          <w:szCs w:val="23"/>
        </w:rPr>
      </w:pPr>
      <w:r>
        <w:rPr>
          <w:rFonts w:cs="Arial" w:ascii="Arial" w:hAnsi="Arial"/>
          <w:b/>
          <w:bCs/>
          <w:color w:val="00AE43"/>
          <w:sz w:val="23"/>
          <w:szCs w:val="23"/>
        </w:rPr>
        <w:t>Role Purpose</w:t>
      </w:r>
    </w:p>
    <w:p>
      <w:pPr>
        <w:pStyle w:val="Normal"/>
        <w:spacing w:lineRule="auto" w:line="240" w:before="0" w:after="80"/>
        <w:rPr>
          <w:rFonts w:ascii="Arial" w:hAnsi="Arial" w:eastAsia="Arial" w:cs="Arial"/>
          <w:color w:val="000000"/>
          <w:sz w:val="23"/>
          <w:szCs w:val="23"/>
        </w:rPr>
      </w:pPr>
      <w:r>
        <w:rPr>
          <w:rFonts w:eastAsia="Arial" w:cs="Arial" w:ascii="Arial" w:hAnsi="Arial"/>
          <w:color w:val="000000"/>
          <w:sz w:val="23"/>
          <w:szCs w:val="23"/>
        </w:rPr>
        <w:t>To establish family networks, promote Lifelong Networks, and co-ordinate and facilitate Family Group Conferences, in order to build networks of extended support around a child/young person and empower families to make decisions and plans to support the child/young person.</w:t>
      </w:r>
    </w:p>
    <w:p>
      <w:pPr>
        <w:pStyle w:val="Normal"/>
        <w:spacing w:lineRule="auto" w:line="240" w:before="0" w:after="80"/>
        <w:rPr>
          <w:rFonts w:ascii="Arial" w:hAnsi="Arial" w:eastAsia="Arial" w:cs="Arial"/>
          <w:sz w:val="23"/>
          <w:szCs w:val="23"/>
        </w:rPr>
      </w:pPr>
      <w:r>
        <w:rPr>
          <w:rFonts w:eastAsia="Arial" w:cs="Arial" w:ascii="Arial" w:hAnsi="Arial"/>
          <w:sz w:val="23"/>
          <w:szCs w:val="23"/>
        </w:rPr>
      </w:r>
    </w:p>
    <w:p>
      <w:pPr>
        <w:pStyle w:val="Normal"/>
        <w:spacing w:lineRule="auto" w:line="240" w:before="0" w:after="0"/>
        <w:rPr>
          <w:rFonts w:ascii="Arial" w:hAnsi="Arial" w:cs="Arial"/>
          <w:b/>
          <w:b/>
          <w:bCs/>
          <w:color w:val="00AE43"/>
          <w:sz w:val="23"/>
          <w:szCs w:val="23"/>
        </w:rPr>
      </w:pPr>
      <w:r>
        <w:rPr>
          <w:rFonts w:cs="Arial" w:ascii="Arial" w:hAnsi="Arial"/>
          <w:b/>
          <w:bCs/>
          <w:color w:val="00AE43"/>
          <w:sz w:val="23"/>
          <w:szCs w:val="23"/>
        </w:rPr>
        <w:t>Accountabilities</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Identify family networks so that relevant participants for a Family Group Conference can participate in the family group conference process, and to ensure that networks of extended support can be built around the child/young person.</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Arrange and co-ordinate Family Group Conference meetings, preparing all participants so that they understand the process and can contribute in a helpful and appropriate way.</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Facilitate Family Group Conferences, using negotiation and mediation skills to support and empower families to address family difficulties.</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Develop plans to address concerns and risks identified by statutory and other services, ensuring that the child/young person’s voice is heard and that their views, wishes, and feelings inform family plans.</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Facilitate Lifelong Links Network finding activities to support children and young people maintain and re-establish links with their family, networks, and community.</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Write up and circulate the agreed family plan and review progress against this in subsequent reviews with the family group, to support them to implement actions that will support the child and the family.</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Facilitate and create long lasting support networks of extended family, friends and professionals for children/young people that are removed from their families, so that they retain important links and support.</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Collaborate and share information with social work colleagues and other relevant agencies, to ensure a cohesive approach to supporting children and families, and to provide advice on the family group conference model.</w:t>
      </w:r>
    </w:p>
    <w:p>
      <w:pPr>
        <w:pStyle w:val="BulletLevel1KF"/>
        <w:numPr>
          <w:ilvl w:val="0"/>
          <w:numId w:val="0"/>
        </w:numPr>
        <w:spacing w:lineRule="auto" w:line="240" w:before="0" w:after="80"/>
        <w:ind w:left="0" w:hanging="0"/>
        <w:rPr/>
      </w:pPr>
      <w:r>
        <w:rPr>
          <w:rStyle w:val="Fontstyle01"/>
          <w:rFonts w:eastAsia="Arial" w:cs="Arial" w:ascii="Arial" w:hAnsi="Arial"/>
          <w:sz w:val="23"/>
          <w:szCs w:val="23"/>
        </w:rPr>
        <w:t xml:space="preserve"> </w:t>
      </w:r>
    </w:p>
    <w:p>
      <w:pPr>
        <w:pStyle w:val="BulletLevel1KF"/>
        <w:numPr>
          <w:ilvl w:val="0"/>
          <w:numId w:val="0"/>
        </w:numPr>
        <w:spacing w:lineRule="auto" w:line="240" w:before="0" w:after="0"/>
        <w:ind w:left="0" w:hanging="0"/>
        <w:rPr>
          <w:rFonts w:ascii="Arial" w:hAnsi="Arial" w:cs="Arial"/>
          <w:b/>
          <w:b/>
          <w:bCs/>
          <w:color w:val="00AE43"/>
          <w:sz w:val="23"/>
          <w:szCs w:val="23"/>
        </w:rPr>
      </w:pPr>
      <w:r>
        <w:rPr>
          <w:rFonts w:cs="Arial" w:ascii="Arial" w:hAnsi="Arial"/>
          <w:b/>
          <w:bCs/>
          <w:color w:val="00AE43"/>
          <w:sz w:val="23"/>
          <w:szCs w:val="23"/>
        </w:rPr>
        <w:t>Knowledge / Skills / Experience required</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NVQ4 in a related discipline, or equivalent.</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Ability to become an accredited FCG Co-ordinator</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Experience of working directly with children/young people and their families.</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Experience of conducting group work.</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Knowledge of child protection and care planning processes and systems, and of the statutory social work function.</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Knowledge of legislation and guidance relating to children's rights.</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Mediation and facilitation skills, with the ability to handle conflict and challenging family dynamics with sensitivity.</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Ability to use empathy and build professional relationships of trust and credibility.</w:t>
      </w:r>
    </w:p>
    <w:p>
      <w:pPr>
        <w:pStyle w:val="Normal"/>
        <w:tabs>
          <w:tab w:val="clear" w:pos="720"/>
          <w:tab w:val="left" w:pos="1410" w:leader="none"/>
        </w:tabs>
        <w:rPr/>
      </w:pPr>
      <w:r>
        <w:rPr/>
        <w:tab/>
      </w:r>
    </w:p>
    <w:p>
      <w:pPr>
        <w:pStyle w:val="BulletLevel1KF"/>
        <w:numPr>
          <w:ilvl w:val="0"/>
          <w:numId w:val="1"/>
        </w:numPr>
        <w:spacing w:lineRule="auto" w:line="240" w:before="0" w:after="0"/>
        <w:ind w:left="284" w:right="0" w:hanging="284"/>
        <w:rPr/>
      </w:pPr>
      <w:r>
        <w:rPr>
          <w:rStyle w:val="Fontstyle01"/>
          <w:rFonts w:eastAsia="Arial" w:cs="Arial" w:ascii="Arial" w:hAnsi="Arial"/>
          <w:sz w:val="23"/>
          <w:szCs w:val="23"/>
        </w:rPr>
        <w:t xml:space="preserve">Ability to appropriately challenge partner agencies and families and demonstrate an ability to practice imaginatively, creatively and offer restorative solutions.  </w:t>
      </w:r>
      <w:r>
        <w:rPr>
          <w:rFonts w:cs="Arial" w:ascii="Arial" w:hAnsi="Arial"/>
          <w:sz w:val="23"/>
          <w:szCs w:val="23"/>
        </w:rPr>
        <w:t xml:space="preserve"> </w:t>
      </w:r>
    </w:p>
    <w:p>
      <w:pPr>
        <w:pStyle w:val="Normal"/>
        <w:spacing w:before="240" w:after="0"/>
        <w:rPr>
          <w:rFonts w:ascii="Arial" w:hAnsi="Arial" w:cs="Arial"/>
          <w:b/>
          <w:b/>
          <w:bCs/>
          <w:color w:val="00AE43"/>
          <w:sz w:val="23"/>
          <w:szCs w:val="23"/>
        </w:rPr>
      </w:pPr>
      <w:r>
        <w:rPr>
          <w:rFonts w:cs="Arial" w:ascii="Arial" w:hAnsi="Arial"/>
          <w:b/>
          <w:bCs/>
          <w:color w:val="00AE43"/>
          <w:sz w:val="23"/>
          <w:szCs w:val="23"/>
        </w:rPr>
        <w:t>Dimensions of role</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This role does not have any management or supervisory requirements.</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This role does not manage a budget.</w:t>
      </w:r>
    </w:p>
    <w:p>
      <w:pPr>
        <w:pStyle w:val="BulletLevel1KF"/>
        <w:numPr>
          <w:ilvl w:val="0"/>
          <w:numId w:val="1"/>
        </w:numPr>
        <w:spacing w:lineRule="auto" w:line="240" w:before="0" w:after="0"/>
        <w:ind w:left="284" w:right="0" w:hanging="284"/>
        <w:rPr>
          <w:rFonts w:ascii="Arial" w:hAnsi="Arial" w:eastAsia="Arial" w:cs="Arial"/>
          <w:color w:val="000000"/>
          <w:sz w:val="23"/>
          <w:szCs w:val="23"/>
        </w:rPr>
      </w:pPr>
      <w:r>
        <w:rPr>
          <w:rFonts w:eastAsia="Arial" w:cs="Arial" w:ascii="Arial" w:hAnsi="Arial"/>
          <w:color w:val="000000"/>
          <w:sz w:val="23"/>
          <w:szCs w:val="23"/>
        </w:rPr>
        <w:t>Planning will typically be over weeks and months, while supporting families to create short and long-term plans.</w:t>
      </w:r>
    </w:p>
    <w:p>
      <w:pPr>
        <w:pStyle w:val="Normal"/>
        <w:spacing w:lineRule="auto" w:line="240" w:before="0" w:after="0"/>
        <w:textAlignment w:val="baseline"/>
        <w:rPr>
          <w:rFonts w:ascii="Arial" w:hAnsi="Arial" w:eastAsia="Times New Roman" w:cs="Arial"/>
          <w:b/>
          <w:b/>
          <w:bCs/>
          <w:color w:val="00AE43"/>
          <w:sz w:val="23"/>
          <w:szCs w:val="23"/>
        </w:rPr>
      </w:pPr>
      <w:r>
        <w:rPr>
          <w:rFonts w:eastAsia="Times New Roman" w:cs="Arial" w:ascii="Arial" w:hAnsi="Arial"/>
          <w:b/>
          <w:bCs/>
          <w:color w:val="00AE43"/>
          <w:sz w:val="23"/>
          <w:szCs w:val="23"/>
        </w:rPr>
      </w:r>
    </w:p>
    <w:p>
      <w:pPr>
        <w:pStyle w:val="BulletLevel1KF"/>
        <w:numPr>
          <w:ilvl w:val="0"/>
          <w:numId w:val="0"/>
        </w:numPr>
        <w:spacing w:before="0" w:after="0"/>
        <w:ind w:left="0" w:hanging="0"/>
        <w:rPr/>
      </w:pPr>
      <w:r>
        <w:rPr>
          <w:rStyle w:val="Normaltextrun"/>
          <w:rFonts w:cs="Arial" w:ascii="Arial" w:hAnsi="Arial"/>
          <w:b/>
          <w:bCs/>
          <w:color w:val="00AE43"/>
          <w:sz w:val="23"/>
          <w:szCs w:val="23"/>
        </w:rPr>
        <w:t>Working Conditions</w:t>
      </w:r>
      <w:r>
        <w:rPr>
          <w:rStyle w:val="Normaltextrun"/>
          <w:rFonts w:cs="Arial" w:ascii="Arial" w:hAnsi="Arial"/>
          <w:color w:val="00AE43"/>
          <w:sz w:val="23"/>
          <w:szCs w:val="23"/>
        </w:rPr>
        <w:t>  </w:t>
      </w:r>
      <w:r>
        <w:rPr>
          <w:rStyle w:val="Eop"/>
          <w:rFonts w:cs="Arial" w:ascii="Arial" w:hAnsi="Arial"/>
          <w:color w:val="00AE43"/>
          <w:sz w:val="23"/>
          <w:szCs w:val="23"/>
        </w:rPr>
        <w:t> </w:t>
      </w:r>
    </w:p>
    <w:p>
      <w:pPr>
        <w:pStyle w:val="BulletLevel1KF"/>
        <w:numPr>
          <w:ilvl w:val="0"/>
          <w:numId w:val="1"/>
        </w:numPr>
        <w:spacing w:lineRule="auto" w:line="240" w:before="0" w:after="0"/>
        <w:ind w:left="284" w:right="0" w:hanging="284"/>
        <w:rPr>
          <w:rFonts w:ascii="Arial" w:hAnsi="Arial" w:eastAsia="Arial" w:cs="Arial"/>
          <w:sz w:val="23"/>
          <w:szCs w:val="23"/>
        </w:rPr>
      </w:pPr>
      <w:r>
        <w:rPr>
          <w:rFonts w:eastAsia="Arial" w:cs="Arial" w:ascii="Arial" w:hAnsi="Arial"/>
          <w:sz w:val="23"/>
          <w:szCs w:val="23"/>
        </w:rPr>
        <w:t>The role does not have any physical demands that have a material impact on the nature of the role.</w:t>
      </w:r>
    </w:p>
    <w:p>
      <w:pPr>
        <w:pStyle w:val="BulletLevel1KF"/>
        <w:numPr>
          <w:ilvl w:val="0"/>
          <w:numId w:val="1"/>
        </w:numPr>
        <w:spacing w:lineRule="auto" w:line="240" w:before="0" w:after="0"/>
        <w:ind w:left="284" w:right="0" w:hanging="284"/>
        <w:rPr>
          <w:rFonts w:ascii="Arial" w:hAnsi="Arial" w:eastAsia="Arial" w:cs="Arial"/>
          <w:sz w:val="23"/>
          <w:szCs w:val="23"/>
        </w:rPr>
      </w:pPr>
      <w:r>
        <w:rPr>
          <w:rFonts w:eastAsia="Arial" w:cs="Arial" w:ascii="Arial" w:hAnsi="Arial"/>
          <w:sz w:val="23"/>
          <w:szCs w:val="23"/>
        </w:rPr>
        <w:t>The role does not have any environmental demands that have a material impact on the nature of the role.</w:t>
      </w:r>
    </w:p>
    <w:p>
      <w:pPr>
        <w:pStyle w:val="BulletLevel1KF"/>
        <w:numPr>
          <w:ilvl w:val="0"/>
          <w:numId w:val="1"/>
        </w:numPr>
        <w:spacing w:lineRule="auto" w:line="240" w:before="0" w:after="0"/>
        <w:ind w:left="284" w:right="0" w:hanging="284"/>
        <w:rPr>
          <w:rFonts w:ascii="Arial" w:hAnsi="Arial" w:eastAsia="Arial" w:cs="Arial"/>
          <w:sz w:val="23"/>
          <w:szCs w:val="23"/>
        </w:rPr>
      </w:pPr>
      <w:r>
        <w:rPr>
          <w:rFonts w:eastAsia="Arial" w:cs="Arial" w:ascii="Arial" w:hAnsi="Arial"/>
          <w:sz w:val="23"/>
          <w:szCs w:val="23"/>
        </w:rPr>
        <w:t>The role frequently needs to maintain vigilance / alertness / concentration for varying periods in the face of a moderate level of distraction and challenging environment, to ensure accuracy or safety.</w:t>
      </w:r>
    </w:p>
    <w:p>
      <w:pPr>
        <w:pStyle w:val="BulletLevel1KF"/>
        <w:numPr>
          <w:ilvl w:val="0"/>
          <w:numId w:val="1"/>
        </w:numPr>
        <w:spacing w:lineRule="auto" w:line="240" w:before="0" w:after="0"/>
        <w:ind w:left="284" w:right="0" w:hanging="284"/>
        <w:rPr>
          <w:rFonts w:ascii="Arial" w:hAnsi="Arial" w:cs="Arial"/>
          <w:color w:val="000000"/>
          <w:sz w:val="23"/>
          <w:szCs w:val="23"/>
          <w:lang w:eastAsia="en-GB"/>
        </w:rPr>
      </w:pPr>
      <w:r>
        <w:rPr>
          <w:rFonts w:cs="Arial" w:ascii="Arial" w:hAnsi="Arial"/>
          <w:color w:val="000000"/>
          <w:sz w:val="23"/>
          <w:szCs w:val="23"/>
          <w:lang w:eastAsia="en-GB"/>
        </w:rPr>
        <w:t>The role has a frequent requirement to handle challenging and confrontational behaviour, as well as frequent exposure to traumatic/distressing situations that are mostly experienced or witnessed indirectly.</w:t>
      </w:r>
    </w:p>
    <w:p>
      <w:pPr>
        <w:pStyle w:val="Normal"/>
        <w:spacing w:lineRule="auto" w:line="240" w:before="0" w:after="0"/>
        <w:textAlignment w:val="baseline"/>
        <w:rPr>
          <w:rFonts w:ascii="Arial" w:hAnsi="Arial" w:eastAsia="Times New Roman" w:cs="Arial"/>
          <w:b/>
          <w:b/>
          <w:bCs/>
          <w:color w:val="00AE43"/>
          <w:sz w:val="23"/>
          <w:szCs w:val="23"/>
        </w:rPr>
      </w:pPr>
      <w:r>
        <w:rPr>
          <w:rFonts w:eastAsia="Times New Roman" w:cs="Arial" w:ascii="Arial" w:hAnsi="Arial"/>
          <w:b/>
          <w:bCs/>
          <w:color w:val="00AE43"/>
          <w:sz w:val="23"/>
          <w:szCs w:val="23"/>
        </w:rPr>
      </w:r>
    </w:p>
    <w:p>
      <w:pPr>
        <w:pStyle w:val="Normal"/>
        <w:spacing w:lineRule="auto" w:line="240" w:before="0" w:after="0"/>
        <w:textAlignment w:val="baseline"/>
        <w:rPr/>
      </w:pPr>
      <w:r>
        <w:rPr>
          <w:rFonts w:eastAsia="Times New Roman" w:cs="Arial" w:ascii="Arial" w:hAnsi="Arial"/>
          <w:b/>
          <w:bCs/>
          <w:color w:val="00AE43"/>
          <w:sz w:val="23"/>
          <w:szCs w:val="23"/>
        </w:rPr>
        <w:t>Values and Behaviour Framework</w:t>
      </w:r>
      <w:r>
        <w:rPr>
          <w:rFonts w:eastAsia="Times New Roman" w:cs="Arial" w:ascii="Arial" w:hAnsi="Arial"/>
          <w:color w:val="00AE43"/>
          <w:sz w:val="23"/>
          <w:szCs w:val="23"/>
          <w:lang w:val="en-US"/>
        </w:rPr>
        <w:t> </w:t>
      </w:r>
    </w:p>
    <w:p>
      <w:pPr>
        <w:pStyle w:val="Normal"/>
        <w:spacing w:lineRule="auto" w:line="240" w:before="0" w:after="0"/>
        <w:textAlignment w:val="baseline"/>
        <w:rPr/>
      </w:pPr>
      <w:r>
        <w:rPr>
          <w:rFonts w:eastAsia="Times New Roman" w:cs="Arial" w:ascii="Arial" w:hAnsi="Arial"/>
          <w:sz w:val="23"/>
          <w:szCs w:val="23"/>
        </w:rPr>
        <w:t>These Values are underpinned by a set of behaviours for all staff, managers, and leaders. These Values and Behaviours are used to support and inform our recruitment decisions, staff development and organisational behaviour.</w:t>
      </w:r>
      <w:r>
        <w:rPr>
          <w:rFonts w:eastAsia="Times New Roman" w:cs="Arial" w:ascii="Arial" w:hAnsi="Arial"/>
          <w:sz w:val="23"/>
          <w:szCs w:val="23"/>
          <w:lang w:val="en-US"/>
        </w:rPr>
        <w:t> </w:t>
      </w:r>
    </w:p>
    <w:p>
      <w:pPr>
        <w:pStyle w:val="Normal"/>
        <w:spacing w:lineRule="auto" w:line="240" w:before="0" w:after="0"/>
        <w:textAlignment w:val="baseline"/>
        <w:rPr>
          <w:rFonts w:ascii="Arial" w:hAnsi="Arial" w:eastAsia="Times New Roman" w:cs="Arial"/>
          <w:color w:val="008A7D"/>
          <w:sz w:val="23"/>
          <w:szCs w:val="23"/>
          <w:lang w:val="en-US"/>
        </w:rPr>
      </w:pPr>
      <w:r>
        <w:rPr>
          <w:rFonts w:eastAsia="Times New Roman" w:cs="Arial" w:ascii="Arial" w:hAnsi="Arial"/>
          <w:color w:val="008A7D"/>
          <w:sz w:val="23"/>
          <w:szCs w:val="23"/>
          <w:lang w:val="en-US"/>
        </w:rPr>
        <w:t> </w:t>
      </w:r>
    </w:p>
    <w:tbl>
      <w:tblPr>
        <w:tblW w:w="10605" w:type="dxa"/>
        <w:jc w:val="left"/>
        <w:tblInd w:w="-15" w:type="dxa"/>
        <w:tblCellMar>
          <w:top w:w="0" w:type="dxa"/>
          <w:left w:w="108" w:type="dxa"/>
          <w:bottom w:w="0" w:type="dxa"/>
          <w:right w:w="108" w:type="dxa"/>
        </w:tblCellMar>
      </w:tblPr>
      <w:tblGrid>
        <w:gridCol w:w="2272"/>
        <w:gridCol w:w="8333"/>
      </w:tblGrid>
      <w:tr>
        <w:trPr>
          <w:trHeight w:val="397" w:hRule="atLeast"/>
        </w:trPr>
        <w:tc>
          <w:tcPr>
            <w:tcW w:w="2272" w:type="dxa"/>
            <w:tcBorders>
              <w:top w:val="single" w:sz="4" w:space="0" w:color="5B9BD5"/>
              <w:left w:val="single" w:sz="4" w:space="0" w:color="5B9BD5"/>
              <w:bottom w:val="single" w:sz="4" w:space="0" w:color="5B9BD5"/>
            </w:tcBorders>
            <w:shd w:fill="auto" w:val="clear"/>
            <w:vAlign w:val="center"/>
          </w:tcPr>
          <w:p>
            <w:pPr>
              <w:pStyle w:val="Normal"/>
              <w:spacing w:lineRule="auto" w:line="240" w:before="0" w:after="120"/>
              <w:jc w:val="center"/>
              <w:rPr>
                <w:rFonts w:ascii="Arial" w:hAnsi="Arial" w:eastAsia="Times New Roman" w:cs="Arial"/>
                <w:color w:val="000000"/>
                <w:sz w:val="23"/>
                <w:szCs w:val="23"/>
                <w:lang w:eastAsia="en-GB"/>
              </w:rPr>
            </w:pPr>
            <w:r>
              <w:rPr/>
              <w:drawing>
                <wp:inline distT="0" distB="0" distL="0" distR="0">
                  <wp:extent cx="780415" cy="71120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1" t="-45" r="-41" b="-45"/>
                          <a:stretch>
                            <a:fillRect/>
                          </a:stretch>
                        </pic:blipFill>
                        <pic:spPr bwMode="auto">
                          <a:xfrm>
                            <a:off x="0" y="0"/>
                            <a:ext cx="780415" cy="711200"/>
                          </a:xfrm>
                          <a:prstGeom prst="rect">
                            <a:avLst/>
                          </a:prstGeom>
                        </pic:spPr>
                      </pic:pic>
                    </a:graphicData>
                  </a:graphic>
                </wp:inline>
              </w:drawing>
            </w:r>
          </w:p>
        </w:tc>
        <w:tc>
          <w:tcPr>
            <w:tcW w:w="8333"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spacing w:before="0" w:after="120"/>
              <w:jc w:val="center"/>
              <w:rPr>
                <w:rFonts w:ascii="Arial" w:hAnsi="Arial" w:eastAsia="Times New Roman" w:cs="Arial"/>
                <w:color w:val="000000"/>
                <w:sz w:val="23"/>
                <w:szCs w:val="23"/>
                <w:lang w:eastAsia="en-GB"/>
              </w:rPr>
            </w:pPr>
            <w:r>
              <w:rPr>
                <w:rFonts w:eastAsia="Times New Roman" w:cs="Arial" w:ascii="Arial" w:hAnsi="Arial"/>
                <w:color w:val="000000"/>
                <w:sz w:val="23"/>
                <w:szCs w:val="23"/>
                <w:lang w:eastAsia="en-GB"/>
              </w:rPr>
              <w:t>We are bold in our approach, set aspirational goals for ourselves and create innovative solutions to tackle problems and adapt to changing circumstances. This value demonstrates that we are proactive, take action and deliver outcomes which improve people's lives.</w:t>
            </w:r>
          </w:p>
        </w:tc>
      </w:tr>
      <w:tr>
        <w:trPr>
          <w:trHeight w:val="397" w:hRule="atLeast"/>
        </w:trPr>
        <w:tc>
          <w:tcPr>
            <w:tcW w:w="2272" w:type="dxa"/>
            <w:tcBorders>
              <w:top w:val="single" w:sz="4" w:space="0" w:color="5B9BD5"/>
              <w:left w:val="single" w:sz="4" w:space="0" w:color="5B9BD5"/>
              <w:bottom w:val="single" w:sz="4" w:space="0" w:color="5B9BD5"/>
            </w:tcBorders>
            <w:shd w:fill="auto" w:val="clear"/>
            <w:vAlign w:val="center"/>
          </w:tcPr>
          <w:p>
            <w:pPr>
              <w:pStyle w:val="Normal"/>
              <w:spacing w:lineRule="auto" w:line="240" w:before="0" w:after="120"/>
              <w:jc w:val="center"/>
              <w:rPr>
                <w:rFonts w:ascii="Arial" w:hAnsi="Arial" w:eastAsia="Times New Roman" w:cs="Arial"/>
                <w:color w:val="000000"/>
                <w:sz w:val="23"/>
                <w:szCs w:val="23"/>
                <w:lang w:eastAsia="en-GB"/>
              </w:rPr>
            </w:pPr>
            <w:r>
              <w:rPr/>
              <w:drawing>
                <wp:inline distT="0" distB="0" distL="0" distR="0">
                  <wp:extent cx="749300" cy="6921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7" t="-56" r="-47" b="-56"/>
                          <a:stretch>
                            <a:fillRect/>
                          </a:stretch>
                        </pic:blipFill>
                        <pic:spPr bwMode="auto">
                          <a:xfrm>
                            <a:off x="0" y="0"/>
                            <a:ext cx="749300" cy="692150"/>
                          </a:xfrm>
                          <a:prstGeom prst="rect">
                            <a:avLst/>
                          </a:prstGeom>
                        </pic:spPr>
                      </pic:pic>
                    </a:graphicData>
                  </a:graphic>
                </wp:inline>
              </w:drawing>
            </w:r>
          </w:p>
        </w:tc>
        <w:tc>
          <w:tcPr>
            <w:tcW w:w="8333"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spacing w:before="0" w:after="120"/>
              <w:jc w:val="center"/>
              <w:rPr>
                <w:rFonts w:ascii="Arial" w:hAnsi="Arial" w:eastAsia="Times New Roman" w:cs="Arial"/>
                <w:color w:val="000000"/>
                <w:sz w:val="23"/>
                <w:szCs w:val="23"/>
                <w:lang w:eastAsia="en-GB"/>
              </w:rPr>
            </w:pPr>
            <w:bookmarkStart w:id="0" w:name="_Hlk57891619"/>
            <w:r>
              <w:rPr>
                <w:rFonts w:eastAsia="Times New Roman" w:cs="Arial" w:ascii="Arial" w:hAnsi="Arial"/>
                <w:color w:val="000000"/>
                <w:sz w:val="23"/>
                <w:szCs w:val="23"/>
                <w:lang w:eastAsia="en-GB"/>
              </w:rPr>
              <w:t>We empower our staff and the people of Bath and North East Somerset so that they have the confidence and ability to find solutions for themselves and others. This value demonstrates how we develop our staff so that they are knowledgeable, are trusted to make decisions, able to challenge us and have the authority to be enablers.</w:t>
            </w:r>
            <w:bookmarkEnd w:id="0"/>
          </w:p>
        </w:tc>
      </w:tr>
      <w:tr>
        <w:trPr>
          <w:trHeight w:val="397" w:hRule="atLeast"/>
        </w:trPr>
        <w:tc>
          <w:tcPr>
            <w:tcW w:w="2272" w:type="dxa"/>
            <w:tcBorders>
              <w:top w:val="single" w:sz="4" w:space="0" w:color="5B9BD5"/>
              <w:left w:val="single" w:sz="4" w:space="0" w:color="5B9BD5"/>
              <w:bottom w:val="single" w:sz="4" w:space="0" w:color="5B9BD5"/>
            </w:tcBorders>
            <w:shd w:fill="auto" w:val="clear"/>
            <w:vAlign w:val="center"/>
          </w:tcPr>
          <w:p>
            <w:pPr>
              <w:pStyle w:val="Normal"/>
              <w:spacing w:lineRule="auto" w:line="240" w:before="0" w:after="120"/>
              <w:jc w:val="center"/>
              <w:rPr>
                <w:rFonts w:ascii="Arial" w:hAnsi="Arial" w:eastAsia="Times New Roman" w:cs="Arial"/>
                <w:color w:val="000000"/>
                <w:sz w:val="23"/>
                <w:szCs w:val="23"/>
                <w:lang w:eastAsia="en-GB"/>
              </w:rPr>
            </w:pPr>
            <w:r>
              <w:rPr/>
              <w:drawing>
                <wp:inline distT="0" distB="0" distL="0" distR="0">
                  <wp:extent cx="776605" cy="72961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3" t="-46" r="-43" b="-46"/>
                          <a:stretch>
                            <a:fillRect/>
                          </a:stretch>
                        </pic:blipFill>
                        <pic:spPr bwMode="auto">
                          <a:xfrm>
                            <a:off x="0" y="0"/>
                            <a:ext cx="776605" cy="729615"/>
                          </a:xfrm>
                          <a:prstGeom prst="rect">
                            <a:avLst/>
                          </a:prstGeom>
                        </pic:spPr>
                      </pic:pic>
                    </a:graphicData>
                  </a:graphic>
                </wp:inline>
              </w:drawing>
            </w:r>
          </w:p>
        </w:tc>
        <w:tc>
          <w:tcPr>
            <w:tcW w:w="8333"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spacing w:lineRule="auto" w:line="240" w:before="0" w:after="120"/>
              <w:jc w:val="center"/>
              <w:rPr>
                <w:rFonts w:ascii="Arial" w:hAnsi="Arial" w:eastAsia="Times New Roman" w:cs="Arial"/>
                <w:color w:val="000000"/>
                <w:sz w:val="23"/>
                <w:szCs w:val="23"/>
                <w:lang w:eastAsia="en-GB"/>
              </w:rPr>
            </w:pPr>
            <w:bookmarkStart w:id="1" w:name="_Hlk57891640"/>
            <w:r>
              <w:rPr>
                <w:rFonts w:eastAsia="Times New Roman" w:cs="Arial" w:ascii="Arial" w:hAnsi="Arial"/>
                <w:color w:val="000000"/>
                <w:sz w:val="23"/>
                <w:szCs w:val="23"/>
                <w:lang w:eastAsia="en-GB"/>
              </w:rPr>
              <w:t>We are supportive and work together to build trusting relationships. Our staff give help and encouragement to the people of Bath and North East Somerset and each other. This value describes how we are curious, collaborative and care for each other, our residents and the environment.</w:t>
            </w:r>
            <w:bookmarkEnd w:id="1"/>
          </w:p>
        </w:tc>
      </w:tr>
      <w:tr>
        <w:trPr>
          <w:trHeight w:val="397" w:hRule="atLeast"/>
        </w:trPr>
        <w:tc>
          <w:tcPr>
            <w:tcW w:w="2272" w:type="dxa"/>
            <w:tcBorders>
              <w:top w:val="single" w:sz="4" w:space="0" w:color="5B9BD5"/>
              <w:left w:val="single" w:sz="4" w:space="0" w:color="5B9BD5"/>
              <w:bottom w:val="single" w:sz="4" w:space="0" w:color="5B9BD5"/>
            </w:tcBorders>
            <w:shd w:fill="auto" w:val="clear"/>
            <w:vAlign w:val="center"/>
          </w:tcPr>
          <w:p>
            <w:pPr>
              <w:pStyle w:val="Normal"/>
              <w:spacing w:lineRule="auto" w:line="240" w:before="0" w:after="120"/>
              <w:jc w:val="center"/>
              <w:rPr>
                <w:rFonts w:ascii="Arial" w:hAnsi="Arial" w:eastAsia="Times New Roman" w:cs="Arial"/>
                <w:color w:val="000000"/>
                <w:sz w:val="23"/>
                <w:szCs w:val="23"/>
                <w:lang w:eastAsia="en-GB"/>
              </w:rPr>
            </w:pPr>
            <w:r>
              <w:rPr/>
              <w:drawing>
                <wp:inline distT="0" distB="0" distL="0" distR="0">
                  <wp:extent cx="770255" cy="73660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4" t="-45" r="-44" b="-45"/>
                          <a:stretch>
                            <a:fillRect/>
                          </a:stretch>
                        </pic:blipFill>
                        <pic:spPr bwMode="auto">
                          <a:xfrm>
                            <a:off x="0" y="0"/>
                            <a:ext cx="770255" cy="736600"/>
                          </a:xfrm>
                          <a:prstGeom prst="rect">
                            <a:avLst/>
                          </a:prstGeom>
                        </pic:spPr>
                      </pic:pic>
                    </a:graphicData>
                  </a:graphic>
                </wp:inline>
              </w:drawing>
            </w:r>
          </w:p>
        </w:tc>
        <w:tc>
          <w:tcPr>
            <w:tcW w:w="8333" w:type="dxa"/>
            <w:tcBorders>
              <w:top w:val="single" w:sz="4" w:space="0" w:color="5B9BD5"/>
              <w:left w:val="single" w:sz="4" w:space="0" w:color="5B9BD5"/>
              <w:bottom w:val="single" w:sz="4" w:space="0" w:color="5B9BD5"/>
              <w:right w:val="single" w:sz="4" w:space="0" w:color="5B9BD5"/>
            </w:tcBorders>
            <w:shd w:fill="auto" w:val="clear"/>
            <w:vAlign w:val="center"/>
          </w:tcPr>
          <w:p>
            <w:pPr>
              <w:pStyle w:val="Normal"/>
              <w:spacing w:lineRule="auto" w:line="240" w:before="0" w:after="120"/>
              <w:jc w:val="center"/>
              <w:rPr>
                <w:rFonts w:ascii="Arial" w:hAnsi="Arial" w:eastAsia="Times New Roman" w:cs="Arial"/>
                <w:color w:val="000000"/>
                <w:sz w:val="23"/>
                <w:szCs w:val="23"/>
                <w:lang w:eastAsia="en-GB"/>
              </w:rPr>
            </w:pPr>
            <w:bookmarkStart w:id="2" w:name="_Hlk57891662"/>
            <w:r>
              <w:rPr>
                <w:rFonts w:eastAsia="Times New Roman" w:cs="Arial" w:ascii="Arial" w:hAnsi="Arial"/>
                <w:color w:val="000000"/>
                <w:sz w:val="23"/>
                <w:szCs w:val="23"/>
                <w:lang w:eastAsia="en-GB"/>
              </w:rPr>
              <w:t>We are transparent, honest and accountable. This value demonstrates that we act with integrity, are open to criticism, are honest about our mistakes and want to improve and do better so that we deliver on our promises.</w:t>
            </w:r>
            <w:bookmarkEnd w:id="2"/>
          </w:p>
        </w:tc>
      </w:tr>
    </w:tbl>
    <w:p>
      <w:pPr>
        <w:pStyle w:val="Normal"/>
        <w:spacing w:lineRule="auto" w:line="240" w:before="0" w:after="0"/>
        <w:textAlignment w:val="baseline"/>
        <w:rPr>
          <w:rFonts w:ascii="Arial" w:hAnsi="Arial" w:eastAsia="Times New Roman" w:cs="Arial"/>
          <w:sz w:val="23"/>
          <w:szCs w:val="23"/>
          <w:lang w:val="en-US"/>
        </w:rPr>
      </w:pPr>
      <w:r>
        <w:rPr>
          <w:rFonts w:eastAsia="Times New Roman" w:cs="Arial" w:ascii="Arial" w:hAnsi="Arial"/>
          <w:sz w:val="23"/>
          <w:szCs w:val="23"/>
          <w:lang w:val="en-US"/>
        </w:rPr>
      </w:r>
    </w:p>
    <w:p>
      <w:pPr>
        <w:pStyle w:val="Normal"/>
        <w:spacing w:before="240" w:after="120"/>
        <w:rPr>
          <w:rFonts w:ascii="Arial" w:hAnsi="Arial" w:eastAsia="Times New Roman" w:cs="Arial"/>
          <w:sz w:val="23"/>
          <w:szCs w:val="23"/>
          <w:lang w:val="en-US"/>
        </w:rPr>
      </w:pPr>
      <w:r>
        <w:rPr>
          <w:rFonts w:eastAsia="Times New Roman" w:cs="Arial" w:ascii="Arial" w:hAnsi="Arial"/>
          <w:sz w:val="23"/>
          <w:szCs w:val="23"/>
          <w:lang w:val="en-US"/>
        </w:rPr>
      </w:r>
    </w:p>
    <w:sectPr>
      <w:headerReference w:type="default" r:id="rId7"/>
      <w:footerReference w:type="default" r:id="rId8"/>
      <w:type w:val="nextPage"/>
      <w:pgSz w:w="12240" w:h="15840"/>
      <w:pgMar w:left="851" w:right="851" w:header="283" w:top="851" w:footer="709"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Wingdings">
    <w:charset w:val="02"/>
    <w:family w:val="auto"/>
    <w:pitch w:val="variable"/>
  </w:font>
  <w:font w:name="Courier New">
    <w:charset w:val="01"/>
    <w:family w:val="modern"/>
    <w:pitch w:val="default"/>
  </w:font>
  <w:font w:name="Corbel">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Version date: 1/4/25</w:t>
      <w:tab/>
      <w:tab/>
      <w:tab/>
      <w:tab/>
      <w:t xml:space="preserve">Page </w:t>
    </w:r>
    <w:r>
      <w:rPr/>
      <w:fldChar w:fldCharType="begin"/>
    </w:r>
    <w:r>
      <w:rPr/>
      <w:instrText> PAGE \* ARABIC </w:instrText>
    </w:r>
    <w:r>
      <w:rPr/>
      <w:fldChar w:fldCharType="separate"/>
    </w:r>
    <w:r>
      <w:rPr/>
      <w:t>2</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rFonts w:ascii="Arial" w:hAnsi="Arial" w:cs="Arial"/>
        <w:i/>
        <w:i/>
        <w:iCs/>
        <w:color w:val="808080"/>
        <w:sz w:val="18"/>
        <w:szCs w:val="18"/>
      </w:rPr>
    </w:pPr>
    <w:r>
      <w:rPr>
        <w:rFonts w:cs="Arial" w:ascii="Arial" w:hAnsi="Arial"/>
        <w:i/>
        <w:iCs/>
        <w:color w:val="808080"/>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sz w:val="20"/>
        <w:szCs w:val="23"/>
        <w:rFonts w:cs="Wingdings"/>
        <w:color w:val="00AE43"/>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Arial"/>
      <w:color w:val="auto"/>
      <w:kern w:val="0"/>
      <w:sz w:val="22"/>
      <w:szCs w:val="22"/>
      <w:lang w:val="en-GB" w:eastAsia="en-US" w:bidi="ar-SA"/>
    </w:rPr>
  </w:style>
  <w:style w:type="character" w:styleId="WW8Num1z0">
    <w:name w:val="WW8Num1z0"/>
    <w:qFormat/>
    <w:rPr>
      <w:rFonts w:ascii="Wingdings" w:hAnsi="Wingdings" w:cs="Wingdings"/>
      <w:color w:val="00AE43"/>
      <w:sz w:val="20"/>
      <w:szCs w:val="23"/>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ntstyle01">
    <w:name w:val="fontstyle01"/>
    <w:basedOn w:val="DefaultParagraphFont"/>
    <w:qFormat/>
    <w:rPr>
      <w:rFonts w:ascii="Corbel" w:hAnsi="Corbel" w:eastAsia="游明朝" w:cs="Arial"/>
      <w:b w:val="false"/>
      <w:bCs w:val="false"/>
      <w:i w:val="false"/>
      <w:iCs w:val="false"/>
      <w:color w:val="000000"/>
      <w:sz w:val="22"/>
      <w:szCs w:val="22"/>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Normaltextrun">
    <w:name w:val="normaltextrun"/>
    <w:basedOn w:val="DefaultParagraphFont"/>
    <w:qFormat/>
    <w:rPr/>
  </w:style>
  <w:style w:type="character" w:styleId="Eop">
    <w:name w:val="eop"/>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ulletLevel1KF">
    <w:name w:val="Bullet Level 1_KF"/>
    <w:basedOn w:val="Normal"/>
    <w:qFormat/>
    <w:pPr/>
    <w:rPr/>
  </w:style>
  <w:style w:type="paragraph" w:styleId="Revision">
    <w:name w:val="Revision"/>
    <w:qFormat/>
    <w:pPr>
      <w:widowControl/>
      <w:suppressAutoHyphens w:val="true"/>
      <w:bidi w:val="0"/>
      <w:spacing w:lineRule="auto" w:line="240" w:before="0" w:after="0"/>
      <w:jc w:val="left"/>
    </w:pPr>
    <w:rPr>
      <w:rFonts w:ascii="Calibri" w:hAnsi="Calibri" w:eastAsia="Calibri" w:cs="Arial"/>
      <w:color w:val="auto"/>
      <w:kern w:val="0"/>
      <w:sz w:val="22"/>
      <w:szCs w:val="22"/>
      <w:lang w:val="en-GB" w:eastAsia="en-US" w:bidi="ar-SA"/>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2025-09-11T11:46:00Z</dcterms:created>
  <dc:creator>Anna Tinn</dc:creator>
  <dc:description/>
  <dc:language>en-US</dc:language>
  <cp:lastModifiedBy>Alex Hobbs</cp:lastModifiedBy>
  <cp:lastPrinted>1995-11-21T17:41:00Z</cp:lastPrinted>
  <dcterms:modified xsi:type="dcterms:W3CDTF">2025-09-11T11:46:00Z</dcterms:modified>
  <cp:revision>2</cp:revision>
  <dc:subject/>
  <dc:title>Family Group Conference Coordinator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0x010100FD0FCD23C06F70449A50CEDD6C8ADC5B010041094E6C057E2C409C35E4837EA32105</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Order">
    <vt:i4>28400</vt:i4>
  </property>
  <property fmtid="{D5CDD505-2E9C-101B-9397-08002B2CF9AE}" pid="8" name="ScaleCrop">
    <vt:bool>0</vt:bool>
  </property>
  <property fmtid="{D5CDD505-2E9C-101B-9397-08002B2CF9AE}" pid="9" name="ShareDoc">
    <vt:bool>0</vt:bool>
  </property>
  <property fmtid="{D5CDD505-2E9C-101B-9397-08002B2CF9AE}" pid="10" name="xd_Signature">
    <vt:bool>0</vt:bool>
  </property>
</Properties>
</file>