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D290" w14:textId="3713FDCA" w:rsidR="00B3218D" w:rsidRPr="00A13261" w:rsidRDefault="00B3218D" w:rsidP="00B3218D">
      <w:pPr>
        <w:pStyle w:val="Heading1"/>
        <w:ind w:left="-851"/>
        <w:rPr>
          <w:b/>
          <w:bCs w:val="0"/>
          <w:i/>
          <w:color w:val="969696"/>
          <w:sz w:val="36"/>
          <w:szCs w:val="40"/>
        </w:rPr>
      </w:pPr>
      <w:r>
        <w:rPr>
          <w:b/>
          <w:bCs w:val="0"/>
          <w:noProof/>
          <w:color w:val="969696"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6E417310" wp14:editId="5FE82D17">
            <wp:simplePos x="0" y="0"/>
            <wp:positionH relativeFrom="column">
              <wp:posOffset>5408930</wp:posOffset>
            </wp:positionH>
            <wp:positionV relativeFrom="paragraph">
              <wp:posOffset>-569595</wp:posOffset>
            </wp:positionV>
            <wp:extent cx="938530" cy="784225"/>
            <wp:effectExtent l="0" t="0" r="0" b="0"/>
            <wp:wrapSquare wrapText="bothSides"/>
            <wp:docPr id="2" name="Picture 2" descr="H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261">
        <w:rPr>
          <w:b/>
          <w:bCs w:val="0"/>
          <w:color w:val="969696"/>
          <w:sz w:val="36"/>
          <w:szCs w:val="40"/>
        </w:rPr>
        <w:t xml:space="preserve">Role Profile: </w:t>
      </w:r>
      <w:r w:rsidR="00A471E0">
        <w:rPr>
          <w:b/>
          <w:bCs w:val="0"/>
          <w:color w:val="969696"/>
          <w:sz w:val="36"/>
          <w:szCs w:val="40"/>
        </w:rPr>
        <w:t>Home Ownership Manager</w:t>
      </w:r>
    </w:p>
    <w:p w14:paraId="4523CA6F" w14:textId="77777777" w:rsidR="00B3218D" w:rsidRPr="00D42959" w:rsidRDefault="00B3218D" w:rsidP="00B3218D">
      <w:pPr>
        <w:rPr>
          <w:sz w:val="1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67"/>
        <w:gridCol w:w="6804"/>
      </w:tblGrid>
      <w:tr w:rsidR="00B3218D" w:rsidRPr="00D42959" w14:paraId="410ADBD1" w14:textId="77777777" w:rsidTr="00876FFC"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00B0F0"/>
          </w:tcPr>
          <w:p w14:paraId="0919E24A" w14:textId="77777777" w:rsidR="00B3218D" w:rsidRPr="00382B87" w:rsidRDefault="00B3218D" w:rsidP="009434CE">
            <w:pPr>
              <w:pStyle w:val="Heading2"/>
              <w:rPr>
                <w:caps/>
                <w:color w:val="FFFFFF"/>
                <w:sz w:val="22"/>
              </w:rPr>
            </w:pPr>
            <w:r w:rsidRPr="00382B87">
              <w:rPr>
                <w:caps/>
                <w:color w:val="FFFFFF"/>
                <w:sz w:val="22"/>
              </w:rPr>
              <w:t>Who’s in my team?</w:t>
            </w:r>
          </w:p>
        </w:tc>
      </w:tr>
      <w:tr w:rsidR="00B3218D" w:rsidRPr="00D42959" w14:paraId="2DA3DA48" w14:textId="77777777" w:rsidTr="00876FFC">
        <w:tc>
          <w:tcPr>
            <w:tcW w:w="439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89FBDD6" w14:textId="77777777" w:rsidR="00B3218D" w:rsidRPr="00382B87" w:rsidRDefault="00B3218D" w:rsidP="009434CE">
            <w:pPr>
              <w:rPr>
                <w:sz w:val="22"/>
              </w:rPr>
            </w:pPr>
            <w:r w:rsidRPr="00382B87">
              <w:rPr>
                <w:sz w:val="22"/>
              </w:rPr>
              <w:t>Line Manager (role):</w:t>
            </w:r>
          </w:p>
        </w:tc>
        <w:tc>
          <w:tcPr>
            <w:tcW w:w="68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3429D94" w14:textId="6FC72274" w:rsidR="00B3218D" w:rsidRPr="00382B87" w:rsidRDefault="00D35247" w:rsidP="00943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sz w:val="22"/>
              </w:rPr>
            </w:pPr>
            <w:r w:rsidRPr="00382B87">
              <w:rPr>
                <w:sz w:val="22"/>
              </w:rPr>
              <w:t>Assistant Director/Director</w:t>
            </w:r>
          </w:p>
        </w:tc>
      </w:tr>
      <w:tr w:rsidR="00B3218D" w:rsidRPr="00D42959" w14:paraId="076EFBED" w14:textId="77777777" w:rsidTr="00876FFC">
        <w:trPr>
          <w:trHeight w:val="87"/>
        </w:trPr>
        <w:tc>
          <w:tcPr>
            <w:tcW w:w="439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1F9D9C0" w14:textId="77777777" w:rsidR="00B3218D" w:rsidRPr="00382B87" w:rsidRDefault="00B3218D" w:rsidP="009434CE">
            <w:pPr>
              <w:pStyle w:val="Heading2"/>
              <w:rPr>
                <w:b w:val="0"/>
                <w:bCs/>
                <w:sz w:val="22"/>
              </w:rPr>
            </w:pPr>
            <w:r w:rsidRPr="00382B87">
              <w:rPr>
                <w:b w:val="0"/>
                <w:bCs/>
                <w:sz w:val="22"/>
              </w:rPr>
              <w:t>Level</w:t>
            </w:r>
            <w:r w:rsidRPr="00382B87">
              <w:rPr>
                <w:rStyle w:val="FootnoteReference"/>
                <w:b w:val="0"/>
                <w:bCs/>
                <w:sz w:val="22"/>
              </w:rPr>
              <w:footnoteReference w:id="1"/>
            </w:r>
            <w:r w:rsidRPr="00382B87">
              <w:rPr>
                <w:b w:val="0"/>
                <w:bCs/>
                <w:sz w:val="22"/>
              </w:rPr>
              <w:t>:</w:t>
            </w:r>
          </w:p>
        </w:tc>
        <w:tc>
          <w:tcPr>
            <w:tcW w:w="68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92339D8" w14:textId="2D448B0A" w:rsidR="00B3218D" w:rsidRPr="00382B87" w:rsidRDefault="00B3218D" w:rsidP="00943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sz w:val="22"/>
              </w:rPr>
            </w:pPr>
          </w:p>
        </w:tc>
      </w:tr>
      <w:tr w:rsidR="00B3218D" w:rsidRPr="00D42959" w14:paraId="326CAA1E" w14:textId="77777777" w:rsidTr="00876FFC">
        <w:trPr>
          <w:trHeight w:val="87"/>
        </w:trPr>
        <w:tc>
          <w:tcPr>
            <w:tcW w:w="439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7C35F28" w14:textId="77777777" w:rsidR="00B3218D" w:rsidRPr="00382B87" w:rsidRDefault="00B3218D" w:rsidP="009434CE">
            <w:pPr>
              <w:pStyle w:val="Heading2"/>
              <w:rPr>
                <w:b w:val="0"/>
                <w:bCs/>
                <w:sz w:val="22"/>
              </w:rPr>
            </w:pPr>
            <w:r w:rsidRPr="00382B87">
              <w:rPr>
                <w:b w:val="0"/>
                <w:bCs/>
                <w:sz w:val="22"/>
              </w:rPr>
              <w:t xml:space="preserve">Team: </w:t>
            </w:r>
          </w:p>
        </w:tc>
        <w:tc>
          <w:tcPr>
            <w:tcW w:w="68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D2653E1" w14:textId="05210573" w:rsidR="00B3218D" w:rsidRPr="00382B87" w:rsidRDefault="00D35247" w:rsidP="00943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4320" w:hanging="4320"/>
              <w:jc w:val="both"/>
              <w:rPr>
                <w:sz w:val="22"/>
              </w:rPr>
            </w:pPr>
            <w:r w:rsidRPr="00382B87">
              <w:rPr>
                <w:sz w:val="22"/>
              </w:rPr>
              <w:t>Housing Management</w:t>
            </w:r>
          </w:p>
        </w:tc>
      </w:tr>
      <w:tr w:rsidR="00B3218D" w:rsidRPr="00D42959" w14:paraId="57F3FF5B" w14:textId="77777777" w:rsidTr="00876FFC">
        <w:trPr>
          <w:trHeight w:val="87"/>
        </w:trPr>
        <w:tc>
          <w:tcPr>
            <w:tcW w:w="439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DC71067" w14:textId="77777777" w:rsidR="00B3218D" w:rsidRPr="00382B87" w:rsidRDefault="00B3218D" w:rsidP="009434CE">
            <w:pPr>
              <w:pStyle w:val="Heading2"/>
              <w:rPr>
                <w:b w:val="0"/>
                <w:bCs/>
                <w:sz w:val="22"/>
              </w:rPr>
            </w:pPr>
            <w:r w:rsidRPr="00382B87">
              <w:rPr>
                <w:b w:val="0"/>
                <w:bCs/>
                <w:sz w:val="22"/>
              </w:rPr>
              <w:t xml:space="preserve">Business area: </w:t>
            </w:r>
          </w:p>
        </w:tc>
        <w:tc>
          <w:tcPr>
            <w:tcW w:w="680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8CCE82E" w14:textId="1F78BD01" w:rsidR="00B3218D" w:rsidRPr="00382B87" w:rsidRDefault="00D35247" w:rsidP="009434CE">
            <w:pPr>
              <w:pStyle w:val="Heading2"/>
              <w:rPr>
                <w:b w:val="0"/>
                <w:sz w:val="22"/>
              </w:rPr>
            </w:pPr>
            <w:r w:rsidRPr="00382B87">
              <w:rPr>
                <w:b w:val="0"/>
                <w:sz w:val="22"/>
              </w:rPr>
              <w:t>Housing</w:t>
            </w:r>
          </w:p>
        </w:tc>
      </w:tr>
      <w:tr w:rsidR="00B3218D" w:rsidRPr="00D42959" w14:paraId="570F1513" w14:textId="77777777" w:rsidTr="00876FFC">
        <w:trPr>
          <w:trHeight w:val="247"/>
        </w:trPr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92D050"/>
          </w:tcPr>
          <w:p w14:paraId="46982D4F" w14:textId="77777777" w:rsidR="00B3218D" w:rsidRPr="00D42959" w:rsidRDefault="00B3218D" w:rsidP="009434CE">
            <w:pPr>
              <w:pStyle w:val="Heading2"/>
              <w:rPr>
                <w:caps/>
                <w:color w:val="FFFFFF"/>
                <w:sz w:val="22"/>
              </w:rPr>
            </w:pPr>
            <w:r>
              <w:rPr>
                <w:caps/>
                <w:color w:val="FFFFFF"/>
                <w:sz w:val="22"/>
              </w:rPr>
              <w:t>WHAT’S MY ROLE</w:t>
            </w:r>
            <w:r w:rsidRPr="00D42959">
              <w:rPr>
                <w:caps/>
                <w:color w:val="FFFFFF"/>
                <w:sz w:val="22"/>
              </w:rPr>
              <w:t>?</w:t>
            </w:r>
          </w:p>
        </w:tc>
      </w:tr>
      <w:tr w:rsidR="00B3218D" w:rsidRPr="00D42959" w14:paraId="4CCB689A" w14:textId="77777777" w:rsidTr="00876FFC"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8A870E3" w14:textId="1518AC80" w:rsidR="00B3218D" w:rsidRDefault="00B3218D" w:rsidP="009434CE">
            <w:pPr>
              <w:rPr>
                <w:sz w:val="22"/>
              </w:rPr>
            </w:pPr>
          </w:p>
          <w:p w14:paraId="1090F9E0" w14:textId="7AD213F7" w:rsidR="000B2A49" w:rsidRPr="000B2A49" w:rsidRDefault="00D35247" w:rsidP="000B2A49">
            <w:pPr>
              <w:rPr>
                <w:sz w:val="22"/>
              </w:rPr>
            </w:pPr>
            <w:r w:rsidRPr="000B2A49">
              <w:rPr>
                <w:sz w:val="22"/>
              </w:rPr>
              <w:t>To work closely and effectively as part of Housing Management SMT providing a model of first-rate leadership behaviour to achieve service excellence, driving forward continuous improvements, developing policies and process to create a modern service in response to the organisation’s requirements</w:t>
            </w:r>
            <w:r w:rsidR="000B2A49" w:rsidRPr="000B2A49">
              <w:rPr>
                <w:sz w:val="22"/>
              </w:rPr>
              <w:t xml:space="preserve">.  You will be </w:t>
            </w:r>
            <w:r w:rsidR="000B2A49">
              <w:rPr>
                <w:sz w:val="22"/>
              </w:rPr>
              <w:t xml:space="preserve">an </w:t>
            </w:r>
            <w:r w:rsidR="000B2A49" w:rsidRPr="000B2A49">
              <w:rPr>
                <w:sz w:val="22"/>
              </w:rPr>
              <w:t>expert in home</w:t>
            </w:r>
            <w:r w:rsidR="00A471E0">
              <w:rPr>
                <w:sz w:val="22"/>
              </w:rPr>
              <w:t xml:space="preserve"> </w:t>
            </w:r>
            <w:r w:rsidR="000B2A49" w:rsidRPr="000B2A49">
              <w:rPr>
                <w:sz w:val="22"/>
              </w:rPr>
              <w:t>ownership services keeping up to date with new ways of working, best practice and legislative changes and continually reviewing policies, processes and procedures, learning from feedback to develop a first-class service.</w:t>
            </w:r>
          </w:p>
          <w:p w14:paraId="4AAFF4CF" w14:textId="77777777" w:rsidR="00D35247" w:rsidRPr="00D35247" w:rsidRDefault="00D35247" w:rsidP="00D35247">
            <w:pPr>
              <w:rPr>
                <w:sz w:val="22"/>
              </w:rPr>
            </w:pPr>
            <w:r w:rsidRPr="00D35247">
              <w:rPr>
                <w:sz w:val="22"/>
              </w:rPr>
              <w:t xml:space="preserve"> </w:t>
            </w:r>
          </w:p>
          <w:p w14:paraId="5B4F7FF7" w14:textId="6854D55A" w:rsidR="00D35247" w:rsidRPr="000B2A49" w:rsidRDefault="000B2A49" w:rsidP="000B2A49">
            <w:pPr>
              <w:rPr>
                <w:sz w:val="22"/>
              </w:rPr>
            </w:pPr>
            <w:r>
              <w:rPr>
                <w:sz w:val="22"/>
              </w:rPr>
              <w:t xml:space="preserve">The Home Ownership manager will </w:t>
            </w:r>
            <w:r w:rsidR="00D35247" w:rsidRPr="000B2A49">
              <w:rPr>
                <w:sz w:val="22"/>
              </w:rPr>
              <w:t>lead effectively on all aspects of the leasehold, commercial and home</w:t>
            </w:r>
            <w:r w:rsidR="00A471E0">
              <w:rPr>
                <w:sz w:val="22"/>
              </w:rPr>
              <w:t xml:space="preserve"> </w:t>
            </w:r>
            <w:r w:rsidR="00D35247" w:rsidRPr="000B2A49">
              <w:rPr>
                <w:sz w:val="22"/>
              </w:rPr>
              <w:t xml:space="preserve">ownership functions by developing high performing and highly motivated teams with customer focus and strong ethos of partnership working, </w:t>
            </w:r>
            <w:r w:rsidRPr="000B2A49">
              <w:rPr>
                <w:sz w:val="22"/>
              </w:rPr>
              <w:t>creating,</w:t>
            </w:r>
            <w:r w:rsidR="00D35247" w:rsidRPr="000B2A49">
              <w:rPr>
                <w:sz w:val="22"/>
              </w:rPr>
              <w:t xml:space="preserve"> and implementing the right strategic vision and pro-actively leading on change as necessary to </w:t>
            </w:r>
            <w:r w:rsidR="00A471E0" w:rsidRPr="000B2A49">
              <w:rPr>
                <w:sz w:val="22"/>
              </w:rPr>
              <w:t>always optimise income collection</w:t>
            </w:r>
            <w:r w:rsidR="00D35247" w:rsidRPr="000B2A49">
              <w:rPr>
                <w:sz w:val="22"/>
              </w:rPr>
              <w:t xml:space="preserve"> within a changing environment.</w:t>
            </w:r>
          </w:p>
          <w:p w14:paraId="13ED0D9C" w14:textId="77777777" w:rsidR="00D35247" w:rsidRPr="00D35247" w:rsidRDefault="00D35247" w:rsidP="00D35247">
            <w:pPr>
              <w:rPr>
                <w:sz w:val="22"/>
              </w:rPr>
            </w:pPr>
            <w:r w:rsidRPr="00D35247">
              <w:rPr>
                <w:sz w:val="22"/>
              </w:rPr>
              <w:t xml:space="preserve"> </w:t>
            </w:r>
          </w:p>
          <w:p w14:paraId="082FDC36" w14:textId="351BE60C" w:rsidR="00D35247" w:rsidRPr="000B2A49" w:rsidRDefault="000B2A49" w:rsidP="000B2A49">
            <w:pPr>
              <w:rPr>
                <w:sz w:val="22"/>
              </w:rPr>
            </w:pPr>
            <w:r>
              <w:rPr>
                <w:sz w:val="22"/>
              </w:rPr>
              <w:t xml:space="preserve">This role will </w:t>
            </w:r>
            <w:r w:rsidR="00D35247" w:rsidRPr="000B2A49">
              <w:rPr>
                <w:sz w:val="22"/>
              </w:rPr>
              <w:t xml:space="preserve">create and develop close links and work collaboratively with a wide range of key partners, stakeholders, internally and externally providing a positive influence in estate management services, securing best outcomes for tenants and working on joint ventures and initiatives across social housing.  </w:t>
            </w:r>
          </w:p>
          <w:p w14:paraId="02E2AB1F" w14:textId="6D939923" w:rsidR="00B3218D" w:rsidRPr="00D42959" w:rsidRDefault="00D35247" w:rsidP="000B2A49">
            <w:pPr>
              <w:rPr>
                <w:sz w:val="22"/>
              </w:rPr>
            </w:pPr>
            <w:r w:rsidRPr="00D35247">
              <w:rPr>
                <w:sz w:val="22"/>
              </w:rPr>
              <w:t xml:space="preserve"> </w:t>
            </w:r>
          </w:p>
        </w:tc>
      </w:tr>
      <w:tr w:rsidR="00B3218D" w:rsidRPr="00D42959" w14:paraId="5C6FA25B" w14:textId="77777777" w:rsidTr="00876FFC"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7030A0"/>
          </w:tcPr>
          <w:p w14:paraId="3278B976" w14:textId="77777777" w:rsidR="00B3218D" w:rsidRPr="003F71EC" w:rsidRDefault="00B3218D" w:rsidP="009434CE">
            <w:pPr>
              <w:pStyle w:val="Heading2"/>
              <w:rPr>
                <w:caps/>
                <w:color w:val="FFFFFF"/>
                <w:sz w:val="22"/>
              </w:rPr>
            </w:pPr>
            <w:r w:rsidRPr="00D42959">
              <w:rPr>
                <w:caps/>
                <w:color w:val="FFFFFF"/>
                <w:sz w:val="22"/>
              </w:rPr>
              <w:t xml:space="preserve">what </w:t>
            </w:r>
            <w:r>
              <w:rPr>
                <w:caps/>
                <w:color w:val="FFFFFF"/>
                <w:sz w:val="22"/>
              </w:rPr>
              <w:t xml:space="preserve">AM </w:t>
            </w:r>
            <w:r w:rsidRPr="00D42959">
              <w:rPr>
                <w:caps/>
                <w:color w:val="FFFFFF"/>
                <w:sz w:val="22"/>
              </w:rPr>
              <w:t xml:space="preserve">i </w:t>
            </w:r>
            <w:r>
              <w:rPr>
                <w:caps/>
                <w:color w:val="FFFFFF"/>
                <w:sz w:val="22"/>
              </w:rPr>
              <w:t>ACCOUNTABLE FOR</w:t>
            </w:r>
            <w:r w:rsidRPr="00D42959">
              <w:rPr>
                <w:caps/>
                <w:color w:val="FFFFFF"/>
                <w:sz w:val="22"/>
              </w:rPr>
              <w:t>?</w:t>
            </w:r>
          </w:p>
        </w:tc>
      </w:tr>
      <w:tr w:rsidR="00B3218D" w:rsidRPr="00D42959" w14:paraId="6D8DBEC1" w14:textId="77777777" w:rsidTr="00876FFC">
        <w:trPr>
          <w:trHeight w:val="1462"/>
        </w:trPr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14:paraId="41B469A1" w14:textId="77777777" w:rsidR="00B3218D" w:rsidRPr="00382B87" w:rsidRDefault="00B3218D" w:rsidP="000B2A49">
            <w:pPr>
              <w:pStyle w:val="ListParagraph"/>
              <w:numPr>
                <w:ilvl w:val="1"/>
                <w:numId w:val="4"/>
              </w:numPr>
              <w:jc w:val="both"/>
              <w:rPr>
                <w:sz w:val="6"/>
              </w:rPr>
            </w:pPr>
          </w:p>
          <w:p w14:paraId="164F2550" w14:textId="77777777" w:rsidR="00377C2F" w:rsidRPr="00377C2F" w:rsidRDefault="00377C2F" w:rsidP="00377C2F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/>
                <w:sz w:val="22"/>
                <w:szCs w:val="22"/>
                <w:lang w:val="en-US"/>
              </w:rPr>
              <w:t>Leadership &amp; culture</w:t>
            </w:r>
          </w:p>
          <w:p w14:paraId="75571FBD" w14:textId="46C9B9C3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Lead day to day delivery of the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and housing management service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1EADD94A" w14:textId="0C49D404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Lead by example as ambassador for joint working, </w:t>
            </w:r>
            <w:r w:rsidR="00AF566A"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developing,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and maintaining relationships with key stakeholders; supporting partners and key initiatives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54972541" w14:textId="1CED5C07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Provide a customer centric culture, seeking to understand the needs and priorities of</w:t>
            </w:r>
            <w:r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customers, measuring that customer insight and feedback drive decision making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7BC67AAE" w14:textId="2DAE9094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Lead by example, working collaboratively with colleagues across the organisation, and constantly looking for ways to make improvements and improve services as one #teammhs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25D6835C" w14:textId="6CE39327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Ensure our service delivers the best it can for our customers, relentlessly working to improve customer service, and taking responsibility for making things happen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2B20E8B8" w14:textId="40227BC4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Support the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Assistant Director of Housing Services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in delivering a comprehensive housing service to our customers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3D4F4842" w14:textId="2E394002" w:rsidR="00377C2F" w:rsidRPr="00377C2F" w:rsidRDefault="00377C2F" w:rsidP="00377C2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Promote a climate of high performance and quality standards, continual improvement within the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ownership 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team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3B7DCF7F" w14:textId="77777777" w:rsidR="00AF566A" w:rsidRDefault="00AF566A" w:rsidP="00377C2F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lang w:val="en-US"/>
              </w:rPr>
            </w:pPr>
          </w:p>
          <w:p w14:paraId="02A7D696" w14:textId="07574EFC" w:rsidR="00377C2F" w:rsidRPr="00377C2F" w:rsidRDefault="00377C2F" w:rsidP="00377C2F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/>
                <w:sz w:val="22"/>
                <w:szCs w:val="22"/>
                <w:lang w:val="en-US"/>
              </w:rPr>
              <w:lastRenderedPageBreak/>
              <w:t>Management</w:t>
            </w:r>
          </w:p>
          <w:p w14:paraId="5A46A56E" w14:textId="3D7E9550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Contribute to development of team and delivery plans, supporting the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Assistant Director of Housing Services 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to set appropriate metrics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72F0C132" w14:textId="0E1457F2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Monitor delivery and report team performance against agreed KPI’s; providing regular feedback to customers and colleagues on service levels and actions to continually improve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75F0D77B" w14:textId="25216B0B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Effectively manage a high performing team to deliver a customer focused service, making decisions and using resources appropriately and flexibly to respond to priorities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156A2860" w14:textId="4EAED041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Monitor and review standards and performance of the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team, with a strong focus on performance and standards, by setting annual objectives, carrying out On Track performance reviews and providing support and guidance through regular 1-2-1’s, seeking to exceed objectives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249BA266" w14:textId="59F92510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Deliver projects assigned to the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eam within agreed timescales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21ECA9A3" w14:textId="5E947152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Ensure the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eam is supported to deliver excellent services, from recruitment and developing skills to effective management of poor performance</w:t>
            </w:r>
            <w:r w:rsidR="00AF566A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0C217175" w14:textId="792360F9" w:rsid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Provide an out of hours emergency housing management service, on rotation with other managers; ensuring customers receive a supportive, caring response out of hours and escalating incidents where </w:t>
            </w:r>
            <w:r w:rsidR="00AF566A"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appropriate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.</w:t>
            </w:r>
          </w:p>
          <w:p w14:paraId="771C002A" w14:textId="5AEA3842" w:rsidR="00377C2F" w:rsidRPr="00377C2F" w:rsidRDefault="00377C2F" w:rsidP="00377C2F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lang w:val="en-US"/>
              </w:rPr>
            </w:pPr>
            <w:r w:rsidRPr="00377C2F">
              <w:rPr>
                <w:rFonts w:eastAsiaTheme="minorHAnsi" w:cstheme="minorBidi"/>
                <w:b/>
                <w:sz w:val="22"/>
                <w:szCs w:val="22"/>
                <w:lang w:val="en-US"/>
              </w:rPr>
              <w:t>Core service delivery and performance</w:t>
            </w:r>
          </w:p>
          <w:p w14:paraId="456E837C" w14:textId="34B65435" w:rsidR="000B2A49" w:rsidRPr="000B2A49" w:rsidRDefault="000B2A49" w:rsidP="000B2A4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Inspire and lead the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ownership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eam, from recruitment to performance management, cultivating a culture of high morale, continuous learning, and professional growth.</w:t>
            </w:r>
          </w:p>
          <w:p w14:paraId="5929F36E" w14:textId="335F1838" w:rsidR="000B2A49" w:rsidRPr="00C24167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Collaborate with the Assistant Director to shape and implement strategic plans that elevate our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 services, driving both operational efficiency and resident satisfaction.</w:t>
            </w:r>
          </w:p>
          <w:p w14:paraId="2E9F29CB" w14:textId="77777777" w:rsidR="000B2A49" w:rsidRPr="00C24167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Lead relationships with managing agents and freeholders, ensuring our services exceed standards and are cost-effective across all tenures.</w:t>
            </w:r>
          </w:p>
          <w:p w14:paraId="2B1313CF" w14:textId="0E32461D" w:rsidR="000B2A49" w:rsidRPr="00C24167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Work closely with the Major Works Team to ensure compliance with S.20 consultations, delivering responsive and cost-efficient services to residents.</w:t>
            </w:r>
          </w:p>
          <w:p w14:paraId="15EBB57B" w14:textId="1B973228" w:rsidR="000B2A49" w:rsidRPr="00C24167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Partner with Development, Asset Management, and Housing Management teams to address estate services and neighbo</w:t>
            </w:r>
            <w:r w:rsidRPr="00377C2F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u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rhood issues in mixed-tenure developments.</w:t>
            </w:r>
          </w:p>
          <w:p w14:paraId="0E9DFBE4" w14:textId="23EECF66" w:rsidR="000B2A49" w:rsidRPr="00C24167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Ensure accurate calculation and legal compliance of service charges, oversee budget monitoring, and collaborate with relevant departments to address identified issues.</w:t>
            </w:r>
          </w:p>
          <w:p w14:paraId="19F7CFF7" w14:textId="77777777" w:rsidR="00377C2F" w:rsidRPr="00377C2F" w:rsidRDefault="000B2A49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Lead initiatives with Finance and IT teams to maintain accurate leaseholder accounts, ensuring effective arrears management and income collection.</w:t>
            </w:r>
          </w:p>
          <w:p w14:paraId="03C1D3F1" w14:textId="20312F7F" w:rsidR="00377C2F" w:rsidRPr="00C24167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Spearhead leasehold and shared ownership management services, ensuring policies and procedures align with best practices and legal requirements.</w:t>
            </w:r>
          </w:p>
          <w:p w14:paraId="3DEC6B5D" w14:textId="099B0F2F" w:rsidR="00377C2F" w:rsidRPr="00C24167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Promote active resident involvement through tenant meetings and community events, ensuring the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ownership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eam is responsive and engaged.</w:t>
            </w:r>
          </w:p>
          <w:p w14:paraId="31DFAC12" w14:textId="4FBECFE5" w:rsidR="00377C2F" w:rsidRPr="00C24167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Contribute to corporate strategies, teamwork, and action plans through insightful reports and participation in working groups and projects.</w:t>
            </w:r>
          </w:p>
          <w:p w14:paraId="7636A764" w14:textId="151A427C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Ensure all health and safety inspections and follow-ups across the 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h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 service are conducted and adhered to.</w:t>
            </w:r>
          </w:p>
          <w:p w14:paraId="1AB7DFC5" w14:textId="64BD3999" w:rsidR="00377C2F" w:rsidRPr="00377C2F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Oversee a dedicated team of two Housing Ownership Officers and a Service Charge</w:t>
            </w:r>
            <w:r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Accountant, ensuring alignment with strategic goals and seamless service delivery.</w:t>
            </w:r>
          </w:p>
          <w:p w14:paraId="69AEEC2A" w14:textId="5D3022E7" w:rsidR="00377C2F" w:rsidRPr="00C24167" w:rsidRDefault="00377C2F" w:rsidP="00377C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C2416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Ensure the team consistently meets KPIs using SMART principles, and maintain a visible presence through regular estate visits and inspections.</w:t>
            </w:r>
          </w:p>
          <w:p w14:paraId="52F9EB30" w14:textId="77777777" w:rsidR="000B2A49" w:rsidRDefault="000B2A49" w:rsidP="000B2A49">
            <w:pPr>
              <w:pStyle w:val="ListParagraph"/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</w:p>
          <w:p w14:paraId="3ED4FE40" w14:textId="77777777" w:rsidR="00A471E0" w:rsidRDefault="00A471E0" w:rsidP="000B2A49">
            <w:pPr>
              <w:pStyle w:val="ListParagraph"/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</w:p>
          <w:p w14:paraId="5FF7E56B" w14:textId="77777777" w:rsidR="00A471E0" w:rsidRPr="00382B87" w:rsidRDefault="00A471E0" w:rsidP="000B2A49">
            <w:pPr>
              <w:pStyle w:val="ListParagraph"/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</w:p>
          <w:p w14:paraId="2C29EDB7" w14:textId="77777777" w:rsidR="00377C2F" w:rsidRPr="00AF566A" w:rsidRDefault="00377C2F" w:rsidP="00377C2F">
            <w:pPr>
              <w:rPr>
                <w:b/>
                <w:bCs w:val="0"/>
                <w:sz w:val="22"/>
              </w:rPr>
            </w:pPr>
            <w:r w:rsidRPr="00AF566A">
              <w:rPr>
                <w:b/>
                <w:bCs w:val="0"/>
                <w:sz w:val="22"/>
              </w:rPr>
              <w:lastRenderedPageBreak/>
              <w:t>Compliance</w:t>
            </w:r>
          </w:p>
          <w:p w14:paraId="7B134EF1" w14:textId="4D4F174C" w:rsidR="00377C2F" w:rsidRPr="00AF566A" w:rsidRDefault="00377C2F" w:rsidP="00AF566A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AF566A">
              <w:rPr>
                <w:sz w:val="22"/>
              </w:rPr>
              <w:t xml:space="preserve">Manage operational compliance with legislation and regulation relating to </w:t>
            </w:r>
            <w:proofErr w:type="spellStart"/>
            <w:r w:rsidR="00A471E0">
              <w:rPr>
                <w:sz w:val="22"/>
              </w:rPr>
              <w:t>h</w:t>
            </w:r>
            <w:r w:rsidR="00AF566A">
              <w:rPr>
                <w:sz w:val="22"/>
              </w:rPr>
              <w:t>ownership</w:t>
            </w:r>
            <w:proofErr w:type="spellEnd"/>
            <w:r w:rsidRPr="00AF566A">
              <w:rPr>
                <w:sz w:val="22"/>
              </w:rPr>
              <w:t>,</w:t>
            </w:r>
            <w:r w:rsidR="00A471E0">
              <w:rPr>
                <w:sz w:val="22"/>
              </w:rPr>
              <w:t xml:space="preserve"> </w:t>
            </w:r>
            <w:r w:rsidRPr="00AF566A">
              <w:rPr>
                <w:sz w:val="22"/>
              </w:rPr>
              <w:t>in particular, but not limited to the Regulator of Social Housing consumer standards, Housing Ombudsman Complaint Handling Code and good practice</w:t>
            </w:r>
            <w:r w:rsidR="00AF566A">
              <w:rPr>
                <w:sz w:val="22"/>
              </w:rPr>
              <w:t>.</w:t>
            </w:r>
          </w:p>
          <w:p w14:paraId="5855E428" w14:textId="69494D9E" w:rsidR="00377C2F" w:rsidRPr="00AF566A" w:rsidRDefault="00377C2F" w:rsidP="00AF566A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AF566A">
              <w:rPr>
                <w:sz w:val="22"/>
              </w:rPr>
              <w:t>Manage relevant contracts and partnerships, complying with procurement policies and good practice</w:t>
            </w:r>
            <w:r w:rsidR="00AF566A">
              <w:rPr>
                <w:sz w:val="22"/>
              </w:rPr>
              <w:t>.</w:t>
            </w:r>
          </w:p>
          <w:p w14:paraId="1EBBDF31" w14:textId="3C33A52D" w:rsidR="00377C2F" w:rsidRPr="00AF566A" w:rsidRDefault="00AF566A" w:rsidP="00AF566A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AF566A">
              <w:rPr>
                <w:sz w:val="22"/>
              </w:rPr>
              <w:t xml:space="preserve">Ensure </w:t>
            </w:r>
            <w:r w:rsidR="00377C2F" w:rsidRPr="00AF566A">
              <w:rPr>
                <w:sz w:val="22"/>
              </w:rPr>
              <w:t>safeguarding concerns are dealt with promptly, in line with legal requirements and guidelines ensuring appropriate action is taken or escalated</w:t>
            </w:r>
            <w:r>
              <w:rPr>
                <w:sz w:val="22"/>
              </w:rPr>
              <w:t>.</w:t>
            </w:r>
          </w:p>
          <w:p w14:paraId="75BD7C35" w14:textId="77777777" w:rsidR="00377C2F" w:rsidRDefault="00377C2F" w:rsidP="00377C2F">
            <w:pPr>
              <w:rPr>
                <w:sz w:val="22"/>
              </w:rPr>
            </w:pPr>
          </w:p>
          <w:p w14:paraId="286E2F3F" w14:textId="04BD85AA" w:rsidR="00377C2F" w:rsidRPr="00AF566A" w:rsidRDefault="00377C2F" w:rsidP="00377C2F">
            <w:pPr>
              <w:rPr>
                <w:b/>
                <w:bCs w:val="0"/>
                <w:sz w:val="22"/>
              </w:rPr>
            </w:pPr>
            <w:r w:rsidRPr="00AF566A">
              <w:rPr>
                <w:b/>
                <w:bCs w:val="0"/>
                <w:sz w:val="22"/>
              </w:rPr>
              <w:t>Digital and ICT</w:t>
            </w:r>
          </w:p>
          <w:p w14:paraId="67C72D82" w14:textId="24549614" w:rsidR="00377C2F" w:rsidRPr="00AF566A" w:rsidRDefault="00377C2F" w:rsidP="00AF566A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AF566A">
              <w:rPr>
                <w:sz w:val="22"/>
              </w:rPr>
              <w:t>Ensure that information and processes are accurately logged and progressed within systems, tracked and reported as appropriate</w:t>
            </w:r>
            <w:r w:rsidR="00AF566A">
              <w:rPr>
                <w:sz w:val="22"/>
              </w:rPr>
              <w:t>.</w:t>
            </w:r>
          </w:p>
          <w:p w14:paraId="62BEB205" w14:textId="5C0E31DD" w:rsidR="00377C2F" w:rsidRPr="00AF566A" w:rsidRDefault="00377C2F" w:rsidP="00AF566A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AF566A">
              <w:rPr>
                <w:sz w:val="22"/>
              </w:rPr>
              <w:t>Use reporting to understand performance drivers and areas for improvement, taking into account data, ICT processes, and triangulating with customer insight</w:t>
            </w:r>
            <w:r w:rsidR="00AF566A">
              <w:rPr>
                <w:sz w:val="22"/>
              </w:rPr>
              <w:t>.</w:t>
            </w:r>
          </w:p>
          <w:p w14:paraId="6725CB02" w14:textId="77777777" w:rsidR="00377C2F" w:rsidRDefault="00377C2F" w:rsidP="00377C2F">
            <w:pPr>
              <w:rPr>
                <w:sz w:val="22"/>
              </w:rPr>
            </w:pPr>
          </w:p>
          <w:p w14:paraId="48C04F92" w14:textId="0152F8F7" w:rsidR="00377C2F" w:rsidRPr="00AF566A" w:rsidRDefault="00377C2F" w:rsidP="00377C2F">
            <w:pPr>
              <w:rPr>
                <w:b/>
                <w:bCs w:val="0"/>
                <w:sz w:val="22"/>
              </w:rPr>
            </w:pPr>
            <w:r w:rsidRPr="00AF566A">
              <w:rPr>
                <w:b/>
                <w:bCs w:val="0"/>
                <w:sz w:val="22"/>
              </w:rPr>
              <w:t>Equality, Diversity and Inclusion</w:t>
            </w:r>
          </w:p>
          <w:p w14:paraId="26D07866" w14:textId="4EC02669" w:rsidR="00377C2F" w:rsidRPr="00AF566A" w:rsidRDefault="00377C2F" w:rsidP="00AF566A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AF566A">
              <w:rPr>
                <w:sz w:val="22"/>
              </w:rPr>
              <w:t>Ensure excellent customer service is provided by the</w:t>
            </w:r>
            <w:r w:rsidR="00AF566A">
              <w:rPr>
                <w:sz w:val="22"/>
              </w:rPr>
              <w:t xml:space="preserve"> </w:t>
            </w:r>
            <w:r w:rsidR="00A471E0">
              <w:rPr>
                <w:sz w:val="22"/>
              </w:rPr>
              <w:t>h</w:t>
            </w:r>
            <w:r w:rsidR="00AF566A">
              <w:rPr>
                <w:sz w:val="22"/>
              </w:rPr>
              <w:t>ome</w:t>
            </w:r>
            <w:r w:rsidR="00A471E0">
              <w:rPr>
                <w:sz w:val="22"/>
              </w:rPr>
              <w:t xml:space="preserve"> </w:t>
            </w:r>
            <w:r w:rsidR="00AF566A">
              <w:rPr>
                <w:sz w:val="22"/>
              </w:rPr>
              <w:t>ownership</w:t>
            </w:r>
            <w:r w:rsidRPr="00AF566A">
              <w:rPr>
                <w:sz w:val="22"/>
              </w:rPr>
              <w:t xml:space="preserve"> </w:t>
            </w:r>
            <w:r w:rsidR="00A471E0">
              <w:rPr>
                <w:sz w:val="22"/>
              </w:rPr>
              <w:t>t</w:t>
            </w:r>
            <w:r w:rsidRPr="00AF566A">
              <w:rPr>
                <w:sz w:val="22"/>
              </w:rPr>
              <w:t>eam, considering different customer needs and delivering continuous improvement</w:t>
            </w:r>
            <w:r w:rsidR="00AF566A">
              <w:rPr>
                <w:sz w:val="22"/>
              </w:rPr>
              <w:t>.</w:t>
            </w:r>
            <w:r w:rsidRPr="00AF566A">
              <w:rPr>
                <w:sz w:val="22"/>
              </w:rPr>
              <w:t xml:space="preserve"> </w:t>
            </w:r>
          </w:p>
          <w:p w14:paraId="41A45746" w14:textId="77777777" w:rsidR="00B3218D" w:rsidRDefault="00377C2F" w:rsidP="00AF566A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AF566A">
              <w:rPr>
                <w:sz w:val="22"/>
              </w:rPr>
              <w:t>Seek improvements customer satisfaction and overall experience using data, insight and customer feedback to understand different customer needs to tailor or amend services</w:t>
            </w:r>
          </w:p>
          <w:p w14:paraId="230AB9FC" w14:textId="1B817DBE" w:rsidR="00AF566A" w:rsidRPr="00AF566A" w:rsidRDefault="00AF566A" w:rsidP="00AF566A">
            <w:pPr>
              <w:pStyle w:val="ListParagraph"/>
              <w:rPr>
                <w:sz w:val="22"/>
              </w:rPr>
            </w:pPr>
          </w:p>
        </w:tc>
      </w:tr>
      <w:tr w:rsidR="00B3218D" w:rsidRPr="00D42959" w14:paraId="194E7441" w14:textId="77777777" w:rsidTr="00876FF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1199" w:type="dxa"/>
            <w:gridSpan w:val="3"/>
            <w:shd w:val="clear" w:color="auto" w:fill="ED09B1"/>
          </w:tcPr>
          <w:p w14:paraId="71DBD384" w14:textId="3BBB2FE9" w:rsidR="00B3218D" w:rsidRPr="00D42959" w:rsidRDefault="00B3218D" w:rsidP="009434CE">
            <w:pPr>
              <w:pStyle w:val="Heading2"/>
              <w:rPr>
                <w:caps/>
                <w:color w:val="FFFFFF"/>
                <w:sz w:val="22"/>
              </w:rPr>
            </w:pPr>
            <w:r>
              <w:lastRenderedPageBreak/>
              <w:br w:type="page"/>
            </w:r>
            <w:r w:rsidRPr="00D42959">
              <w:rPr>
                <w:caps/>
                <w:color w:val="FFFFFF"/>
                <w:sz w:val="22"/>
              </w:rPr>
              <w:t xml:space="preserve">what will i bring to the role? </w:t>
            </w:r>
          </w:p>
        </w:tc>
      </w:tr>
      <w:tr w:rsidR="00B3218D" w:rsidRPr="00D42959" w14:paraId="795E04CB" w14:textId="77777777" w:rsidTr="00876FFC">
        <w:trPr>
          <w:trHeight w:val="412"/>
        </w:trPr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CE9A7B" w14:textId="77777777" w:rsidR="00B3218D" w:rsidRPr="00382B87" w:rsidRDefault="00B3218D" w:rsidP="009434CE">
            <w:pPr>
              <w:jc w:val="both"/>
              <w:rPr>
                <w:sz w:val="10"/>
                <w:u w:val="single"/>
                <w:lang w:eastAsia="en-GB"/>
              </w:rPr>
            </w:pPr>
          </w:p>
          <w:p w14:paraId="1E095BB8" w14:textId="0DFD2219" w:rsidR="00B3218D" w:rsidRPr="00382B87" w:rsidRDefault="00B3218D" w:rsidP="009434CE">
            <w:pPr>
              <w:jc w:val="both"/>
              <w:rPr>
                <w:sz w:val="22"/>
                <w:u w:val="single"/>
                <w:lang w:eastAsia="en-GB"/>
              </w:rPr>
            </w:pPr>
            <w:r w:rsidRPr="00382B87">
              <w:rPr>
                <w:sz w:val="22"/>
                <w:u w:val="single"/>
                <w:lang w:eastAsia="en-GB"/>
              </w:rPr>
              <w:t>What’s essential:</w:t>
            </w:r>
          </w:p>
          <w:p w14:paraId="4311C24B" w14:textId="1B578D57" w:rsidR="00B3218D" w:rsidRPr="00382B87" w:rsidRDefault="00B3218D" w:rsidP="009434CE">
            <w:pPr>
              <w:jc w:val="both"/>
              <w:rPr>
                <w:sz w:val="22"/>
                <w:u w:val="single"/>
                <w:lang w:eastAsia="en-GB"/>
              </w:rPr>
            </w:pPr>
          </w:p>
          <w:p w14:paraId="175C069E" w14:textId="77777777" w:rsidR="00B3218D" w:rsidRPr="00382B87" w:rsidRDefault="00B3218D" w:rsidP="00B3218D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u w:val="single"/>
                <w:lang w:val="en-US"/>
              </w:rPr>
            </w:pPr>
            <w:r w:rsidRPr="00382B87">
              <w:rPr>
                <w:rFonts w:eastAsiaTheme="minorHAnsi" w:cstheme="minorBidi"/>
                <w:b/>
                <w:sz w:val="22"/>
                <w:szCs w:val="22"/>
                <w:u w:val="single"/>
                <w:lang w:val="en-US"/>
              </w:rPr>
              <w:t>Essential</w:t>
            </w:r>
          </w:p>
          <w:p w14:paraId="407696E4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Knowledge of relevant legislation including section 20 consultation</w:t>
            </w:r>
          </w:p>
          <w:p w14:paraId="20878B36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Fantastic customer service skills with a relentless focus and a proactive and creative approach</w:t>
            </w:r>
          </w:p>
          <w:p w14:paraId="0AF45D0E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Support others, gains trust and positive and enthusiastic</w:t>
            </w:r>
          </w:p>
          <w:p w14:paraId="5BA28BAB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Develop staff individually and as groups so they perform as best they can</w:t>
            </w:r>
          </w:p>
          <w:p w14:paraId="05D5180F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Leads staff by establishing clear direction and standards, providing opportunities for participation, motivating staff by giving encouragement, recognition and personal support</w:t>
            </w:r>
          </w:p>
          <w:p w14:paraId="5B08B15E" w14:textId="769F6EDC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Extensive experience managing leasehold and shared ownership properties</w:t>
            </w:r>
            <w:r w:rsidR="00577977"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including collection of service charges </w:t>
            </w:r>
          </w:p>
          <w:p w14:paraId="77894CA5" w14:textId="5B8EC031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Dealing with nuisance and harassment through mul</w:t>
            </w:r>
            <w:r w:rsidR="00D35247"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ti-</w:t>
            </w: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agency working</w:t>
            </w:r>
          </w:p>
          <w:p w14:paraId="694E4C8D" w14:textId="1E17EAB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Excellent understanding of home</w:t>
            </w:r>
            <w:r w:rsidR="00A471E0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</w:t>
            </w: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ownership issues</w:t>
            </w:r>
          </w:p>
          <w:p w14:paraId="7BDBABBD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Sound knowledge of the relevant legislation (Housing Acts, ASB, Crime and Policing Act, Disability and Sex discrimination and Tenancy Enforcement)</w:t>
            </w:r>
          </w:p>
          <w:p w14:paraId="35586ECB" w14:textId="794DCCD9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Sound knowledge of best practice in leasehold management, </w:t>
            </w:r>
            <w:r w:rsidR="00D35247"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neighborhood</w:t>
            </w: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 xml:space="preserve"> management, ASB, budgets and resident involvement</w:t>
            </w:r>
          </w:p>
          <w:p w14:paraId="1C9F2269" w14:textId="77777777" w:rsidR="00B3218D" w:rsidRPr="00382B87" w:rsidRDefault="00B3218D" w:rsidP="00B3218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Excellent interpersonal skills with ability to communicate will with residents, Directors, Board Members and Customer Scrutiny Panel</w:t>
            </w:r>
          </w:p>
          <w:p w14:paraId="04571863" w14:textId="77777777" w:rsidR="00B3218D" w:rsidRPr="00382B87" w:rsidRDefault="00B3218D" w:rsidP="00B3218D">
            <w:pPr>
              <w:spacing w:after="160" w:line="259" w:lineRule="auto"/>
              <w:rPr>
                <w:rFonts w:eastAsiaTheme="minorHAnsi" w:cstheme="minorBidi"/>
                <w:b/>
                <w:sz w:val="22"/>
                <w:szCs w:val="22"/>
                <w:u w:val="single"/>
                <w:lang w:val="en-US"/>
              </w:rPr>
            </w:pPr>
            <w:r w:rsidRPr="00382B87">
              <w:rPr>
                <w:rFonts w:eastAsiaTheme="minorHAnsi" w:cstheme="minorBidi"/>
                <w:b/>
                <w:sz w:val="22"/>
                <w:szCs w:val="22"/>
                <w:u w:val="single"/>
                <w:lang w:val="en-US"/>
              </w:rPr>
              <w:t>Desirable</w:t>
            </w:r>
          </w:p>
          <w:p w14:paraId="1C4F5167" w14:textId="77777777" w:rsidR="00B3218D" w:rsidRPr="00382B87" w:rsidRDefault="00B3218D" w:rsidP="00B3218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Educated to degree level or equivalent</w:t>
            </w:r>
          </w:p>
          <w:p w14:paraId="29F2A22E" w14:textId="77777777" w:rsidR="00B3218D" w:rsidRPr="00382B87" w:rsidRDefault="00B3218D" w:rsidP="00B3218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Track record of successful budget management</w:t>
            </w:r>
          </w:p>
          <w:p w14:paraId="5C44764E" w14:textId="77777777" w:rsidR="00B3218D" w:rsidRPr="00382B87" w:rsidRDefault="00B3218D" w:rsidP="00B3218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</w:pPr>
            <w:r w:rsidRPr="00382B87">
              <w:rPr>
                <w:rFonts w:eastAsiaTheme="minorHAnsi" w:cstheme="minorBidi"/>
                <w:bCs w:val="0"/>
                <w:sz w:val="22"/>
                <w:szCs w:val="22"/>
                <w:lang w:val="en-US"/>
              </w:rPr>
              <w:t>Staff management experience</w:t>
            </w:r>
          </w:p>
          <w:p w14:paraId="08D61122" w14:textId="77777777" w:rsidR="00B3218D" w:rsidRPr="00382B87" w:rsidRDefault="00B3218D" w:rsidP="009434CE">
            <w:pPr>
              <w:jc w:val="both"/>
              <w:rPr>
                <w:sz w:val="22"/>
                <w:u w:val="single"/>
                <w:lang w:eastAsia="en-GB"/>
              </w:rPr>
            </w:pPr>
          </w:p>
          <w:p w14:paraId="68105F35" w14:textId="77777777" w:rsidR="00B3218D" w:rsidRPr="00382B87" w:rsidRDefault="00B3218D" w:rsidP="009434CE">
            <w:pPr>
              <w:jc w:val="both"/>
              <w:rPr>
                <w:sz w:val="12"/>
                <w:u w:val="single"/>
                <w:lang w:eastAsia="en-GB"/>
              </w:rPr>
            </w:pPr>
          </w:p>
          <w:p w14:paraId="51E34730" w14:textId="77777777" w:rsidR="00B3218D" w:rsidRPr="00382B87" w:rsidRDefault="00B3218D" w:rsidP="009434CE">
            <w:pPr>
              <w:jc w:val="both"/>
              <w:rPr>
                <w:sz w:val="12"/>
                <w:u w:val="single"/>
                <w:lang w:eastAsia="en-GB"/>
              </w:rPr>
            </w:pPr>
          </w:p>
          <w:p w14:paraId="172ECC3D" w14:textId="77777777" w:rsidR="00B3218D" w:rsidRPr="00382B87" w:rsidRDefault="00B3218D" w:rsidP="009434CE">
            <w:pPr>
              <w:jc w:val="both"/>
              <w:rPr>
                <w:sz w:val="10"/>
                <w:u w:val="single"/>
                <w:lang w:eastAsia="en-GB"/>
              </w:rPr>
            </w:pPr>
          </w:p>
        </w:tc>
      </w:tr>
      <w:tr w:rsidR="00B3218D" w:rsidRPr="00D42959" w14:paraId="1811E7E5" w14:textId="77777777" w:rsidTr="00876FFC">
        <w:trPr>
          <w:trHeight w:val="208"/>
        </w:trPr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C000"/>
          </w:tcPr>
          <w:p w14:paraId="26EAC846" w14:textId="77777777" w:rsidR="00B3218D" w:rsidRPr="009D4920" w:rsidRDefault="00B3218D" w:rsidP="009434CE">
            <w:pPr>
              <w:jc w:val="both"/>
              <w:rPr>
                <w:b/>
                <w:sz w:val="10"/>
                <w:u w:val="single"/>
                <w:lang w:eastAsia="en-GB"/>
              </w:rPr>
            </w:pPr>
            <w:r>
              <w:rPr>
                <w:b/>
                <w:caps/>
                <w:color w:val="FFFFFF"/>
                <w:sz w:val="22"/>
              </w:rPr>
              <w:lastRenderedPageBreak/>
              <w:t>BUDGETARY RESPONSIBILITIES:</w:t>
            </w:r>
          </w:p>
        </w:tc>
      </w:tr>
      <w:tr w:rsidR="00B3218D" w:rsidRPr="001631BB" w14:paraId="7AD260AF" w14:textId="77777777" w:rsidTr="00876FFC">
        <w:tblPrEx>
          <w:tblLook w:val="04A0" w:firstRow="1" w:lastRow="0" w:firstColumn="1" w:lastColumn="0" w:noHBand="0" w:noVBand="1"/>
        </w:tblPrEx>
        <w:tc>
          <w:tcPr>
            <w:tcW w:w="3828" w:type="dxa"/>
            <w:shd w:val="clear" w:color="auto" w:fill="auto"/>
          </w:tcPr>
          <w:p w14:paraId="01F9F418" w14:textId="77777777" w:rsidR="00B3218D" w:rsidRPr="00A307BA" w:rsidRDefault="00B3218D" w:rsidP="009434CE">
            <w:pPr>
              <w:rPr>
                <w:sz w:val="22"/>
              </w:rPr>
            </w:pPr>
            <w:r w:rsidRPr="00A307BA">
              <w:rPr>
                <w:sz w:val="22"/>
                <w:lang w:eastAsia="en-GB"/>
              </w:rPr>
              <w:t>Headcount</w:t>
            </w:r>
            <w:r>
              <w:rPr>
                <w:sz w:val="22"/>
                <w:lang w:eastAsia="en-GB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D15DD29" w14:textId="7F54428C" w:rsidR="00B3218D" w:rsidRPr="001631BB" w:rsidRDefault="00577977" w:rsidP="009434CE">
            <w:pPr>
              <w:rPr>
                <w:sz w:val="22"/>
              </w:rPr>
            </w:pPr>
            <w:r>
              <w:rPr>
                <w:sz w:val="22"/>
              </w:rPr>
              <w:t xml:space="preserve"> 3</w:t>
            </w:r>
          </w:p>
        </w:tc>
      </w:tr>
      <w:tr w:rsidR="00B3218D" w:rsidRPr="001631BB" w14:paraId="6B461C10" w14:textId="77777777" w:rsidTr="00876FFC">
        <w:tblPrEx>
          <w:tblLook w:val="04A0" w:firstRow="1" w:lastRow="0" w:firstColumn="1" w:lastColumn="0" w:noHBand="0" w:noVBand="1"/>
        </w:tblPrEx>
        <w:tc>
          <w:tcPr>
            <w:tcW w:w="3828" w:type="dxa"/>
            <w:shd w:val="clear" w:color="auto" w:fill="auto"/>
          </w:tcPr>
          <w:p w14:paraId="73D414FA" w14:textId="77777777" w:rsidR="00B3218D" w:rsidRPr="00A307BA" w:rsidRDefault="00B3218D" w:rsidP="009434CE">
            <w:pPr>
              <w:rPr>
                <w:sz w:val="22"/>
              </w:rPr>
            </w:pPr>
            <w:r w:rsidRPr="00A307BA">
              <w:rPr>
                <w:sz w:val="22"/>
              </w:rPr>
              <w:t>Financial (operational</w:t>
            </w:r>
            <w:r>
              <w:rPr>
                <w:sz w:val="22"/>
              </w:rPr>
              <w:t xml:space="preserve"> / capital</w:t>
            </w:r>
            <w:r w:rsidRPr="00A307BA">
              <w:rPr>
                <w:sz w:val="22"/>
              </w:rPr>
              <w:t>):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A35C151" w14:textId="3EDA53D4" w:rsidR="00B3218D" w:rsidRPr="001631BB" w:rsidRDefault="00A471E0" w:rsidP="009434CE">
            <w:pPr>
              <w:rPr>
                <w:sz w:val="22"/>
              </w:rPr>
            </w:pPr>
            <w:r>
              <w:rPr>
                <w:sz w:val="22"/>
                <w:lang w:eastAsia="en-GB"/>
              </w:rPr>
              <w:t>Y</w:t>
            </w:r>
            <w:r w:rsidR="00F12D97">
              <w:rPr>
                <w:sz w:val="22"/>
                <w:lang w:eastAsia="en-GB"/>
              </w:rPr>
              <w:t>es</w:t>
            </w:r>
            <w:r>
              <w:rPr>
                <w:sz w:val="22"/>
                <w:lang w:eastAsia="en-GB"/>
              </w:rPr>
              <w:t xml:space="preserve">, </w:t>
            </w:r>
            <w:r w:rsidR="00577977">
              <w:rPr>
                <w:sz w:val="22"/>
                <w:lang w:eastAsia="en-GB"/>
              </w:rPr>
              <w:t xml:space="preserve">responsible for Home ownership Team budget &amp; Service Charge Income </w:t>
            </w:r>
          </w:p>
        </w:tc>
      </w:tr>
      <w:tr w:rsidR="00B3218D" w:rsidRPr="001631BB" w14:paraId="584A239C" w14:textId="77777777" w:rsidTr="00876FFC">
        <w:tblPrEx>
          <w:tblLook w:val="04A0" w:firstRow="1" w:lastRow="0" w:firstColumn="1" w:lastColumn="0" w:noHBand="0" w:noVBand="1"/>
        </w:tblPrEx>
        <w:tc>
          <w:tcPr>
            <w:tcW w:w="3828" w:type="dxa"/>
            <w:tcBorders>
              <w:bottom w:val="single" w:sz="2" w:space="0" w:color="999999"/>
            </w:tcBorders>
            <w:shd w:val="clear" w:color="auto" w:fill="auto"/>
          </w:tcPr>
          <w:p w14:paraId="7BAF7145" w14:textId="77777777" w:rsidR="00B3218D" w:rsidRPr="00A307BA" w:rsidRDefault="00B3218D" w:rsidP="009434CE">
            <w:pPr>
              <w:rPr>
                <w:sz w:val="22"/>
              </w:rPr>
            </w:pPr>
            <w:r w:rsidRPr="00A307BA">
              <w:rPr>
                <w:sz w:val="22"/>
              </w:rPr>
              <w:t xml:space="preserve">Other, if applicable:  </w:t>
            </w:r>
          </w:p>
        </w:tc>
        <w:tc>
          <w:tcPr>
            <w:tcW w:w="7371" w:type="dxa"/>
            <w:gridSpan w:val="2"/>
            <w:tcBorders>
              <w:bottom w:val="single" w:sz="2" w:space="0" w:color="999999"/>
            </w:tcBorders>
            <w:shd w:val="clear" w:color="auto" w:fill="auto"/>
          </w:tcPr>
          <w:p w14:paraId="14994DCB" w14:textId="77777777" w:rsidR="00B3218D" w:rsidRPr="001631BB" w:rsidRDefault="00B3218D" w:rsidP="009434CE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B3218D" w:rsidRPr="00D42959" w14:paraId="05398603" w14:textId="77777777" w:rsidTr="00876FFC"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0000"/>
          </w:tcPr>
          <w:p w14:paraId="2F4500B9" w14:textId="77777777" w:rsidR="00B3218D" w:rsidRPr="00D42959" w:rsidRDefault="00B3218D" w:rsidP="009434CE">
            <w:pPr>
              <w:jc w:val="both"/>
              <w:rPr>
                <w:b/>
                <w:caps/>
                <w:color w:val="FFFFFF"/>
                <w:sz w:val="22"/>
              </w:rPr>
            </w:pPr>
            <w:r w:rsidRPr="00D42959">
              <w:rPr>
                <w:b/>
                <w:caps/>
                <w:color w:val="FFFFFF"/>
                <w:sz w:val="22"/>
              </w:rPr>
              <w:t>QUALIFICATIONS:</w:t>
            </w:r>
          </w:p>
        </w:tc>
      </w:tr>
      <w:tr w:rsidR="00B3218D" w:rsidRPr="00D42959" w14:paraId="7033F78D" w14:textId="77777777" w:rsidTr="00876FFC">
        <w:tc>
          <w:tcPr>
            <w:tcW w:w="11199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</w:tcPr>
          <w:p w14:paraId="0AD6DB8A" w14:textId="77777777" w:rsidR="00B3218D" w:rsidRDefault="00B3218D" w:rsidP="00B3218D">
            <w:pPr>
              <w:numPr>
                <w:ilvl w:val="0"/>
                <w:numId w:val="3"/>
              </w:numPr>
              <w:jc w:val="both"/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none</w:t>
            </w:r>
          </w:p>
          <w:p w14:paraId="6FB0E451" w14:textId="77777777" w:rsidR="00B3218D" w:rsidRPr="00545EA5" w:rsidRDefault="00B3218D" w:rsidP="009434CE">
            <w:pPr>
              <w:ind w:left="360"/>
              <w:jc w:val="both"/>
              <w:rPr>
                <w:sz w:val="22"/>
                <w:lang w:eastAsia="en-GB"/>
              </w:rPr>
            </w:pPr>
          </w:p>
        </w:tc>
      </w:tr>
    </w:tbl>
    <w:p w14:paraId="14ACCD71" w14:textId="77777777" w:rsidR="00B3218D" w:rsidRDefault="00B3218D" w:rsidP="00B3218D">
      <w:pPr>
        <w:rPr>
          <w:i/>
          <w:sz w:val="22"/>
        </w:rPr>
      </w:pPr>
    </w:p>
    <w:p w14:paraId="1F9D3D32" w14:textId="77777777" w:rsidR="00B3218D" w:rsidRDefault="00B3218D" w:rsidP="00B3218D">
      <w:pPr>
        <w:rPr>
          <w:i/>
          <w:sz w:val="22"/>
        </w:rPr>
      </w:pPr>
    </w:p>
    <w:p w14:paraId="5CEE46DC" w14:textId="77777777" w:rsidR="00F618B7" w:rsidRDefault="00F618B7"/>
    <w:sectPr w:rsidR="00F618B7" w:rsidSect="00E2717C">
      <w:headerReference w:type="default" r:id="rId8"/>
      <w:footerReference w:type="default" r:id="rId9"/>
      <w:pgSz w:w="11906" w:h="16838" w:code="9"/>
      <w:pgMar w:top="1304" w:right="1440" w:bottom="130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5330" w14:textId="77777777" w:rsidR="00F57FAE" w:rsidRDefault="00F57FAE" w:rsidP="00B3218D">
      <w:r>
        <w:separator/>
      </w:r>
    </w:p>
  </w:endnote>
  <w:endnote w:type="continuationSeparator" w:id="0">
    <w:p w14:paraId="5553BCAD" w14:textId="77777777" w:rsidR="00F57FAE" w:rsidRDefault="00F57FAE" w:rsidP="00B3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8255" w14:textId="77777777" w:rsidR="00F57FAE" w:rsidRPr="009D4920" w:rsidRDefault="00B3218D" w:rsidP="009D4920">
    <w:pPr>
      <w:pStyle w:val="Footer"/>
      <w:pBdr>
        <w:top w:val="single" w:sz="4" w:space="1" w:color="D9D9D9"/>
      </w:pBdr>
      <w:jc w:val="right"/>
      <w:rPr>
        <w:sz w:val="18"/>
      </w:rPr>
    </w:pPr>
    <w:r w:rsidRPr="009D4920">
      <w:rPr>
        <w:sz w:val="18"/>
      </w:rPr>
      <w:fldChar w:fldCharType="begin"/>
    </w:r>
    <w:r w:rsidRPr="009D4920">
      <w:rPr>
        <w:sz w:val="18"/>
      </w:rPr>
      <w:instrText xml:space="preserve"> PAGE   \* MERGEFORMAT </w:instrText>
    </w:r>
    <w:r w:rsidRPr="009D4920">
      <w:rPr>
        <w:sz w:val="18"/>
      </w:rPr>
      <w:fldChar w:fldCharType="separate"/>
    </w:r>
    <w:r>
      <w:rPr>
        <w:noProof/>
        <w:sz w:val="18"/>
      </w:rPr>
      <w:t>2</w:t>
    </w:r>
    <w:r w:rsidRPr="009D4920">
      <w:rPr>
        <w:noProof/>
        <w:sz w:val="18"/>
      </w:rPr>
      <w:fldChar w:fldCharType="end"/>
    </w:r>
    <w:r w:rsidRPr="009D4920">
      <w:rPr>
        <w:sz w:val="18"/>
      </w:rPr>
      <w:t xml:space="preserve"> | </w:t>
    </w:r>
    <w:r w:rsidRPr="009D4920">
      <w:rPr>
        <w:color w:val="808080"/>
        <w:spacing w:val="60"/>
        <w:sz w:val="18"/>
      </w:rPr>
      <w:t>Page</w:t>
    </w:r>
  </w:p>
  <w:p w14:paraId="0D7AD49E" w14:textId="77777777" w:rsidR="00F57FAE" w:rsidRDefault="00F5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CC27" w14:textId="77777777" w:rsidR="00F57FAE" w:rsidRDefault="00F57FAE" w:rsidP="00B3218D">
      <w:r>
        <w:separator/>
      </w:r>
    </w:p>
  </w:footnote>
  <w:footnote w:type="continuationSeparator" w:id="0">
    <w:p w14:paraId="33529C3B" w14:textId="77777777" w:rsidR="00F57FAE" w:rsidRDefault="00F57FAE" w:rsidP="00B3218D">
      <w:r>
        <w:continuationSeparator/>
      </w:r>
    </w:p>
  </w:footnote>
  <w:footnote w:id="1">
    <w:p w14:paraId="6916A3FE" w14:textId="77777777" w:rsidR="00B3218D" w:rsidRDefault="00B3218D" w:rsidP="00B3218D">
      <w:pPr>
        <w:pStyle w:val="FootnoteText"/>
      </w:pPr>
      <w:r>
        <w:rPr>
          <w:rStyle w:val="FootnoteReference"/>
        </w:rPr>
        <w:footnoteRef/>
      </w:r>
      <w:r>
        <w:t xml:space="preserve"> Please refer to the Leadership Behaviour Framework for this level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42E8" w14:textId="77777777" w:rsidR="00F57FAE" w:rsidRDefault="00F5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1F9"/>
    <w:multiLevelType w:val="hybridMultilevel"/>
    <w:tmpl w:val="0612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A60"/>
    <w:multiLevelType w:val="hybridMultilevel"/>
    <w:tmpl w:val="9854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3F8"/>
    <w:multiLevelType w:val="hybridMultilevel"/>
    <w:tmpl w:val="B690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A3D4E">
      <w:numFmt w:val="bullet"/>
      <w:lvlText w:val="•"/>
      <w:lvlJc w:val="left"/>
      <w:pPr>
        <w:ind w:left="2160" w:hanging="360"/>
      </w:pPr>
      <w:rPr>
        <w:rFonts w:ascii="Verdana" w:eastAsiaTheme="minorHAnsi" w:hAnsi="Verdana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60DC"/>
    <w:multiLevelType w:val="multilevel"/>
    <w:tmpl w:val="4F8E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4364"/>
    <w:multiLevelType w:val="hybridMultilevel"/>
    <w:tmpl w:val="1CA6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A0E12"/>
    <w:multiLevelType w:val="hybridMultilevel"/>
    <w:tmpl w:val="0D5C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4F5B"/>
    <w:multiLevelType w:val="hybridMultilevel"/>
    <w:tmpl w:val="14B4B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5F96"/>
    <w:multiLevelType w:val="hybridMultilevel"/>
    <w:tmpl w:val="717C2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19AF"/>
    <w:multiLevelType w:val="hybridMultilevel"/>
    <w:tmpl w:val="FB3A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6329"/>
    <w:multiLevelType w:val="hybridMultilevel"/>
    <w:tmpl w:val="DEEE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A41E0"/>
    <w:multiLevelType w:val="hybridMultilevel"/>
    <w:tmpl w:val="F1920E32"/>
    <w:lvl w:ilvl="0" w:tplc="93DAB92C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3985"/>
    <w:multiLevelType w:val="hybridMultilevel"/>
    <w:tmpl w:val="D864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4FAD"/>
    <w:multiLevelType w:val="hybridMultilevel"/>
    <w:tmpl w:val="E64E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D1D84"/>
    <w:multiLevelType w:val="hybridMultilevel"/>
    <w:tmpl w:val="170C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3614E"/>
    <w:multiLevelType w:val="hybridMultilevel"/>
    <w:tmpl w:val="512A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E4B2C"/>
    <w:multiLevelType w:val="hybridMultilevel"/>
    <w:tmpl w:val="1B7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711EC"/>
    <w:multiLevelType w:val="hybridMultilevel"/>
    <w:tmpl w:val="921C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6E91"/>
    <w:multiLevelType w:val="multilevel"/>
    <w:tmpl w:val="006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53D7B"/>
    <w:multiLevelType w:val="hybridMultilevel"/>
    <w:tmpl w:val="C38AF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0411E"/>
    <w:multiLevelType w:val="hybridMultilevel"/>
    <w:tmpl w:val="BEC64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002712">
    <w:abstractNumId w:val="4"/>
  </w:num>
  <w:num w:numId="2" w16cid:durableId="1700081349">
    <w:abstractNumId w:val="1"/>
  </w:num>
  <w:num w:numId="3" w16cid:durableId="1663660496">
    <w:abstractNumId w:val="8"/>
  </w:num>
  <w:num w:numId="4" w16cid:durableId="312225647">
    <w:abstractNumId w:val="2"/>
  </w:num>
  <w:num w:numId="5" w16cid:durableId="2134201761">
    <w:abstractNumId w:val="12"/>
  </w:num>
  <w:num w:numId="6" w16cid:durableId="558249411">
    <w:abstractNumId w:val="16"/>
  </w:num>
  <w:num w:numId="7" w16cid:durableId="622276433">
    <w:abstractNumId w:val="7"/>
  </w:num>
  <w:num w:numId="8" w16cid:durableId="959607514">
    <w:abstractNumId w:val="18"/>
  </w:num>
  <w:num w:numId="9" w16cid:durableId="1372261813">
    <w:abstractNumId w:val="10"/>
  </w:num>
  <w:num w:numId="10" w16cid:durableId="1396274918">
    <w:abstractNumId w:val="17"/>
  </w:num>
  <w:num w:numId="11" w16cid:durableId="2064213612">
    <w:abstractNumId w:val="3"/>
  </w:num>
  <w:num w:numId="12" w16cid:durableId="746266617">
    <w:abstractNumId w:val="5"/>
  </w:num>
  <w:num w:numId="13" w16cid:durableId="630015320">
    <w:abstractNumId w:val="0"/>
  </w:num>
  <w:num w:numId="14" w16cid:durableId="1086881263">
    <w:abstractNumId w:val="19"/>
  </w:num>
  <w:num w:numId="15" w16cid:durableId="2121870160">
    <w:abstractNumId w:val="14"/>
  </w:num>
  <w:num w:numId="16" w16cid:durableId="198053369">
    <w:abstractNumId w:val="6"/>
  </w:num>
  <w:num w:numId="17" w16cid:durableId="1109277885">
    <w:abstractNumId w:val="13"/>
  </w:num>
  <w:num w:numId="18" w16cid:durableId="1168012274">
    <w:abstractNumId w:val="9"/>
  </w:num>
  <w:num w:numId="19" w16cid:durableId="169412119">
    <w:abstractNumId w:val="11"/>
  </w:num>
  <w:num w:numId="20" w16cid:durableId="2107000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8D"/>
    <w:rsid w:val="00014E78"/>
    <w:rsid w:val="000B2A49"/>
    <w:rsid w:val="000C5994"/>
    <w:rsid w:val="00124BBC"/>
    <w:rsid w:val="00197389"/>
    <w:rsid w:val="00304F46"/>
    <w:rsid w:val="00377C2F"/>
    <w:rsid w:val="00382B87"/>
    <w:rsid w:val="00514848"/>
    <w:rsid w:val="00577977"/>
    <w:rsid w:val="005850A3"/>
    <w:rsid w:val="00731B51"/>
    <w:rsid w:val="00835A01"/>
    <w:rsid w:val="00876FFC"/>
    <w:rsid w:val="00A471E0"/>
    <w:rsid w:val="00A97298"/>
    <w:rsid w:val="00AF566A"/>
    <w:rsid w:val="00B3218D"/>
    <w:rsid w:val="00D35247"/>
    <w:rsid w:val="00D91814"/>
    <w:rsid w:val="00E659D4"/>
    <w:rsid w:val="00EA18F0"/>
    <w:rsid w:val="00F12D97"/>
    <w:rsid w:val="00F57FAE"/>
    <w:rsid w:val="00F618B7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F5E6"/>
  <w15:chartTrackingRefBased/>
  <w15:docId w15:val="{F4F51F5A-3923-4719-A8D1-1F69716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8D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18D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B3218D"/>
    <w:pPr>
      <w:keepNext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18D"/>
    <w:rPr>
      <w:rFonts w:ascii="Verdana" w:eastAsia="Times New Roman" w:hAnsi="Verdana" w:cs="Times New Roman"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B3218D"/>
    <w:rPr>
      <w:rFonts w:ascii="Verdana" w:eastAsia="Times New Roman" w:hAnsi="Verdana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B321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18D"/>
    <w:rPr>
      <w:rFonts w:ascii="Verdana" w:eastAsia="Times New Roman" w:hAnsi="Verdana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321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18D"/>
    <w:rPr>
      <w:rFonts w:ascii="Verdana" w:eastAsia="Times New Roman" w:hAnsi="Verdana" w:cs="Times New Roman"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B32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218D"/>
    <w:rPr>
      <w:rFonts w:ascii="Verdana" w:eastAsia="Times New Roman" w:hAnsi="Verdana" w:cs="Times New Roman"/>
      <w:bCs/>
      <w:sz w:val="20"/>
      <w:szCs w:val="20"/>
    </w:rPr>
  </w:style>
  <w:style w:type="character" w:styleId="FootnoteReference">
    <w:name w:val="footnote reference"/>
    <w:rsid w:val="00B321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21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994"/>
    <w:rPr>
      <w:rFonts w:ascii="Verdana" w:eastAsia="Times New Roman" w:hAnsi="Verdana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99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994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 Thind</dc:creator>
  <cp:keywords/>
  <dc:description/>
  <cp:lastModifiedBy>Joanne Nolan</cp:lastModifiedBy>
  <cp:revision>2</cp:revision>
  <dcterms:created xsi:type="dcterms:W3CDTF">2024-09-27T10:27:00Z</dcterms:created>
  <dcterms:modified xsi:type="dcterms:W3CDTF">2024-09-27T10:27:00Z</dcterms:modified>
</cp:coreProperties>
</file>