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0EB58ECF" w14:textId="77777777" w:rsidTr="00C555F4">
        <w:trPr>
          <w:trHeight w:val="404"/>
        </w:trPr>
        <w:tc>
          <w:tcPr>
            <w:tcW w:w="2576" w:type="dxa"/>
            <w:vAlign w:val="center"/>
          </w:tcPr>
          <w:p w14:paraId="29CCF888" w14:textId="66344BD3" w:rsidR="00A670CB" w:rsidRPr="004A3BE6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Job Title</w:t>
            </w:r>
          </w:p>
        </w:tc>
        <w:tc>
          <w:tcPr>
            <w:tcW w:w="6897" w:type="dxa"/>
            <w:vAlign w:val="center"/>
          </w:tcPr>
          <w:p w14:paraId="37673DAB" w14:textId="326C77B0" w:rsidR="00A670CB" w:rsidRPr="004A3BE6" w:rsidRDefault="004A3BE6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bookmarkStart w:id="0" w:name="_GoBack"/>
            <w:r w:rsidRPr="004A3BE6">
              <w:rPr>
                <w:rFonts w:ascii="Arial" w:eastAsia="Calibri" w:hAnsi="Arial" w:cs="Arial"/>
                <w:color w:val="244061" w:themeColor="accent1" w:themeShade="80"/>
              </w:rPr>
              <w:t>Project Co-ordinator</w:t>
            </w:r>
            <w:bookmarkEnd w:id="0"/>
          </w:p>
        </w:tc>
      </w:tr>
      <w:tr w:rsidR="00A670CB" w:rsidRPr="00C20F6A" w14:paraId="20F4117A" w14:textId="77777777" w:rsidTr="00C555F4">
        <w:trPr>
          <w:trHeight w:val="404"/>
        </w:trPr>
        <w:tc>
          <w:tcPr>
            <w:tcW w:w="2576" w:type="dxa"/>
            <w:vAlign w:val="center"/>
          </w:tcPr>
          <w:p w14:paraId="04F30CCA" w14:textId="4E4F30E3" w:rsidR="00A670CB" w:rsidRPr="004A3BE6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Business Unit</w:t>
            </w:r>
          </w:p>
        </w:tc>
        <w:tc>
          <w:tcPr>
            <w:tcW w:w="6897" w:type="dxa"/>
            <w:vAlign w:val="center"/>
          </w:tcPr>
          <w:p w14:paraId="7B3E529B" w14:textId="151FBD86" w:rsidR="00A670CB" w:rsidRPr="004A3BE6" w:rsidRDefault="00C555F4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Building and Real Estate</w:t>
            </w:r>
          </w:p>
        </w:tc>
      </w:tr>
      <w:tr w:rsidR="00A670CB" w:rsidRPr="00C20F6A" w14:paraId="5170D4D9" w14:textId="77777777" w:rsidTr="00C555F4">
        <w:trPr>
          <w:trHeight w:val="404"/>
        </w:trPr>
        <w:tc>
          <w:tcPr>
            <w:tcW w:w="2576" w:type="dxa"/>
            <w:vAlign w:val="center"/>
          </w:tcPr>
          <w:p w14:paraId="53B98D18" w14:textId="47E0DF80" w:rsidR="00A670CB" w:rsidRPr="004A3BE6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Location</w:t>
            </w:r>
          </w:p>
        </w:tc>
        <w:tc>
          <w:tcPr>
            <w:tcW w:w="6897" w:type="dxa"/>
            <w:vAlign w:val="center"/>
          </w:tcPr>
          <w:p w14:paraId="1066C3C3" w14:textId="1D88E735" w:rsidR="00A670CB" w:rsidRPr="004A3BE6" w:rsidRDefault="00F17E8C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Colchester </w:t>
            </w:r>
          </w:p>
        </w:tc>
      </w:tr>
      <w:tr w:rsidR="00A670CB" w:rsidRPr="00C20F6A" w14:paraId="0E4E61D3" w14:textId="77777777" w:rsidTr="00B9645F">
        <w:trPr>
          <w:trHeight w:val="404"/>
        </w:trPr>
        <w:tc>
          <w:tcPr>
            <w:tcW w:w="2576" w:type="dxa"/>
          </w:tcPr>
          <w:p w14:paraId="1D7827D5" w14:textId="700B9259" w:rsidR="00A670CB" w:rsidRPr="004A3BE6" w:rsidRDefault="00A670CB" w:rsidP="00A670CB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Purpose</w:t>
            </w:r>
          </w:p>
        </w:tc>
        <w:tc>
          <w:tcPr>
            <w:tcW w:w="6897" w:type="dxa"/>
          </w:tcPr>
          <w:p w14:paraId="425A0D48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244061" w:themeColor="accent1" w:themeShade="80"/>
              </w:rPr>
            </w:pPr>
            <w:r w:rsidRPr="004A3BE6">
              <w:rPr>
                <w:rFonts w:ascii="Arial" w:eastAsia="Calibri" w:hAnsi="Arial" w:cs="Arial"/>
                <w:color w:val="244061" w:themeColor="accent1" w:themeShade="80"/>
              </w:rPr>
              <w:t xml:space="preserve">To support our ambitious growth plans, we have a great opportunity to join our Building and Real Estate Division. SOCOTEC is the market-leading independent provider of Building Control, we pride ourselves on being the experts and leading authority on building controls within the industry. </w:t>
            </w:r>
          </w:p>
          <w:p w14:paraId="13BC5E6C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244061" w:themeColor="accent1" w:themeShade="80"/>
              </w:rPr>
            </w:pPr>
          </w:p>
          <w:p w14:paraId="3C7F11DA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244061" w:themeColor="accent1" w:themeShade="80"/>
              </w:rPr>
            </w:pPr>
            <w:r w:rsidRPr="004A3BE6">
              <w:rPr>
                <w:rFonts w:ascii="Arial" w:eastAsia="Calibri" w:hAnsi="Arial" w:cs="Arial"/>
                <w:color w:val="244061" w:themeColor="accent1" w:themeShade="80"/>
              </w:rPr>
              <w:t xml:space="preserve">We are looking for a </w:t>
            </w: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Project Co-ordinator </w:t>
            </w:r>
            <w:r w:rsidRPr="004A3BE6">
              <w:rPr>
                <w:rFonts w:ascii="Arial" w:eastAsia="Calibri" w:hAnsi="Arial" w:cs="Arial"/>
                <w:color w:val="244061" w:themeColor="accent1" w:themeShade="80"/>
              </w:rPr>
              <w:t xml:space="preserve">to join our newly established </w:t>
            </w:r>
            <w:r w:rsidRPr="004A3BE6">
              <w:rPr>
                <w:rFonts w:ascii="Arial" w:hAnsi="Arial" w:cs="Arial"/>
                <w:color w:val="244061" w:themeColor="accent1" w:themeShade="80"/>
              </w:rPr>
              <w:t>Building Compliance Consultancy concentrating on the Non-HRB</w:t>
            </w:r>
          </w:p>
          <w:p w14:paraId="71DCB002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</w:pPr>
          </w:p>
          <w:p w14:paraId="3A59386F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</w:pPr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As a </w:t>
            </w:r>
            <w:r w:rsidRPr="004A3BE6">
              <w:rPr>
                <w:rFonts w:ascii="Arial" w:hAnsi="Arial" w:cs="Arial"/>
                <w:color w:val="244061" w:themeColor="accent1" w:themeShade="80"/>
              </w:rPr>
              <w:t>Project Co-ordinator</w:t>
            </w:r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, you will be an integral part of our team, assisting in ensuring that our projects comply with relevant building regulations, codes, and standards. </w:t>
            </w:r>
          </w:p>
          <w:p w14:paraId="0BD6CFF9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</w:pPr>
          </w:p>
          <w:p w14:paraId="4AF5282C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</w:pPr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Based at our office in </w:t>
            </w:r>
            <w:proofErr w:type="spellStart"/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Ardleigh</w:t>
            </w:r>
            <w:proofErr w:type="spellEnd"/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, Colchester you will work closely with our consultants to deliver exceptional service to our clients while upholding the highest standards of safety, quality, and sustainability. </w:t>
            </w:r>
          </w:p>
          <w:p w14:paraId="3A12F9F9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</w:pPr>
          </w:p>
          <w:p w14:paraId="050CA512" w14:textId="77777777" w:rsidR="004A3BE6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This role offers a unique opportunity to work within a consultancy team specialising in the field of building regulations and compliance while working on a diverse range of projects across various sectors including, high and low rise offices, warehouse and logistics, schools and education, healthcare and high-end residential.</w:t>
            </w:r>
          </w:p>
          <w:p w14:paraId="51254E53" w14:textId="77777777" w:rsidR="004A3BE6" w:rsidRPr="004A3BE6" w:rsidRDefault="004A3BE6" w:rsidP="004A3BE6">
            <w:pPr>
              <w:rPr>
                <w:rFonts w:ascii="Arial" w:hAnsi="Arial" w:cs="Arial"/>
                <w:color w:val="244061" w:themeColor="accent1" w:themeShade="80"/>
              </w:rPr>
            </w:pPr>
          </w:p>
          <w:p w14:paraId="259CE01C" w14:textId="1F3A9521" w:rsidR="00BA0FBB" w:rsidRPr="004A3BE6" w:rsidRDefault="004A3BE6" w:rsidP="004A3BE6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You will assist in the management and performance of the </w:t>
            </w:r>
            <w:proofErr w:type="gramStart"/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>non HRB</w:t>
            </w:r>
            <w:proofErr w:type="gramEnd"/>
            <w:r w:rsidRPr="004A3BE6">
              <w:rPr>
                <w:rFonts w:ascii="Arial" w:hAnsi="Arial" w:cs="Arial"/>
                <w:color w:val="244061" w:themeColor="accent1" w:themeShade="80"/>
                <w:shd w:val="clear" w:color="auto" w:fill="FFFFFF"/>
              </w:rPr>
              <w:t xml:space="preserve"> consultancy team, achieving targets in relation to sales targets and day to day running of the business and project delivery.</w:t>
            </w:r>
          </w:p>
        </w:tc>
      </w:tr>
      <w:tr w:rsidR="004A3BE6" w:rsidRPr="00C20F6A" w14:paraId="09116CDD" w14:textId="77777777" w:rsidTr="00B9645F">
        <w:trPr>
          <w:trHeight w:val="404"/>
        </w:trPr>
        <w:tc>
          <w:tcPr>
            <w:tcW w:w="2576" w:type="dxa"/>
          </w:tcPr>
          <w:p w14:paraId="584A177C" w14:textId="2D73C9E3" w:rsidR="004A3BE6" w:rsidRPr="004A3BE6" w:rsidRDefault="004A3BE6" w:rsidP="004A3BE6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General</w:t>
            </w:r>
          </w:p>
          <w:p w14:paraId="1A4B38A7" w14:textId="2C3D44D6" w:rsidR="004A3BE6" w:rsidRPr="004A3BE6" w:rsidRDefault="004A3BE6" w:rsidP="004A3BE6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Responsibilities/Specific Duties:</w:t>
            </w:r>
          </w:p>
        </w:tc>
        <w:tc>
          <w:tcPr>
            <w:tcW w:w="6897" w:type="dxa"/>
          </w:tcPr>
          <w:p w14:paraId="57BBA618" w14:textId="77777777" w:rsidR="004A3BE6" w:rsidRPr="004A3BE6" w:rsidRDefault="004A3BE6" w:rsidP="004A3BE6">
            <w:p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b/>
                <w:bCs/>
                <w:color w:val="244061" w:themeColor="accent1" w:themeShade="80"/>
              </w:rPr>
              <w:t>General:</w:t>
            </w:r>
          </w:p>
          <w:p w14:paraId="54DFD47D" w14:textId="2F43DE8D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Provide general support and assistance to the project consultants </w:t>
            </w:r>
            <w:r>
              <w:rPr>
                <w:rFonts w:ascii="Arial" w:hAnsi="Arial" w:cs="Arial"/>
                <w:color w:val="244061" w:themeColor="accent1" w:themeShade="80"/>
              </w:rPr>
              <w:t>and team</w:t>
            </w:r>
          </w:p>
          <w:p w14:paraId="29E79D39" w14:textId="58D06BE4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Produce and provide fee proposals to clients upon request with the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 support of the consultant team</w:t>
            </w:r>
          </w:p>
          <w:p w14:paraId="35875712" w14:textId="67F12C36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Assist with on boarding new cli</w:t>
            </w:r>
            <w:r>
              <w:rPr>
                <w:rFonts w:ascii="Arial" w:hAnsi="Arial" w:cs="Arial"/>
                <w:color w:val="244061" w:themeColor="accent1" w:themeShade="80"/>
              </w:rPr>
              <w:t>ents to the service and Socotec</w:t>
            </w:r>
          </w:p>
          <w:p w14:paraId="24240C55" w14:textId="0CC482C1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Responsibility for accepting new projects, adding </w:t>
            </w:r>
            <w:r>
              <w:rPr>
                <w:rFonts w:ascii="Arial" w:hAnsi="Arial" w:cs="Arial"/>
                <w:color w:val="244061" w:themeColor="accent1" w:themeShade="80"/>
              </w:rPr>
              <w:t>projects to the database system</w:t>
            </w:r>
          </w:p>
          <w:p w14:paraId="15F9D49A" w14:textId="049FE771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Coordination and allocat</w:t>
            </w:r>
            <w:r>
              <w:rPr>
                <w:rFonts w:ascii="Arial" w:hAnsi="Arial" w:cs="Arial"/>
                <w:color w:val="244061" w:themeColor="accent1" w:themeShade="80"/>
              </w:rPr>
              <w:t>ion of projects to team members</w:t>
            </w:r>
          </w:p>
          <w:p w14:paraId="2C5DC282" w14:textId="411D10A3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Information and data gathering for new appointments in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 line with operation procedures</w:t>
            </w:r>
          </w:p>
          <w:p w14:paraId="23FBAF4C" w14:textId="653E8C3C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Assisting the consultant teams to </w:t>
            </w:r>
            <w:r>
              <w:rPr>
                <w:rFonts w:ascii="Arial" w:hAnsi="Arial" w:cs="Arial"/>
                <w:color w:val="244061" w:themeColor="accent1" w:themeShade="80"/>
              </w:rPr>
              <w:t>deliver the consultancy service</w:t>
            </w:r>
          </w:p>
          <w:p w14:paraId="0980C7AF" w14:textId="54362F2E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Providing high level support to clients in relation to Buil</w:t>
            </w:r>
            <w:r>
              <w:rPr>
                <w:rFonts w:ascii="Arial" w:hAnsi="Arial" w:cs="Arial"/>
                <w:color w:val="244061" w:themeColor="accent1" w:themeShade="80"/>
              </w:rPr>
              <w:t>ding Regulations and compliance</w:t>
            </w:r>
          </w:p>
          <w:p w14:paraId="2C794C95" w14:textId="12E79B8F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lastRenderedPageBreak/>
              <w:t xml:space="preserve">Organising consultant workload and scheduling </w:t>
            </w:r>
            <w:r>
              <w:rPr>
                <w:rFonts w:ascii="Arial" w:hAnsi="Arial" w:cs="Arial"/>
                <w:color w:val="244061" w:themeColor="accent1" w:themeShade="80"/>
              </w:rPr>
              <w:t>meetings and project activities</w:t>
            </w:r>
          </w:p>
          <w:p w14:paraId="447BB8F6" w14:textId="008E8456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Leading the project document control and information gathering re</w:t>
            </w:r>
            <w:r>
              <w:rPr>
                <w:rFonts w:ascii="Arial" w:hAnsi="Arial" w:cs="Arial"/>
                <w:color w:val="244061" w:themeColor="accent1" w:themeShade="80"/>
              </w:rPr>
              <w:t>quirements throughout a project</w:t>
            </w:r>
          </w:p>
          <w:p w14:paraId="59737E1F" w14:textId="6222F140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Assisting with project finance management </w:t>
            </w:r>
            <w:r>
              <w:rPr>
                <w:rFonts w:ascii="Arial" w:hAnsi="Arial" w:cs="Arial"/>
                <w:color w:val="244061" w:themeColor="accent1" w:themeShade="80"/>
              </w:rPr>
              <w:t>and invoicing</w:t>
            </w:r>
          </w:p>
          <w:p w14:paraId="3EBA536A" w14:textId="708A3C51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Create working relationships with the client base</w:t>
            </w:r>
          </w:p>
          <w:p w14:paraId="0D1ECF6B" w14:textId="5B035F9E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Support in developing new business with new and existing clients </w:t>
            </w:r>
            <w:r>
              <w:rPr>
                <w:rFonts w:ascii="Arial" w:hAnsi="Arial" w:cs="Arial"/>
                <w:color w:val="244061" w:themeColor="accent1" w:themeShade="80"/>
              </w:rPr>
              <w:t>where possible</w:t>
            </w:r>
          </w:p>
          <w:p w14:paraId="72080167" w14:textId="37A94946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Promoting the full range of services</w:t>
            </w:r>
          </w:p>
          <w:p w14:paraId="382ABBD6" w14:textId="100E8BF3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Assisting with the training of new mem</w:t>
            </w:r>
            <w:r>
              <w:rPr>
                <w:rFonts w:ascii="Arial" w:hAnsi="Arial" w:cs="Arial"/>
                <w:color w:val="244061" w:themeColor="accent1" w:themeShade="80"/>
              </w:rPr>
              <w:t>bers of the team where required</w:t>
            </w:r>
          </w:p>
          <w:p w14:paraId="5A74DE7A" w14:textId="77777777" w:rsidR="004A3BE6" w:rsidRPr="004A3BE6" w:rsidRDefault="004A3BE6" w:rsidP="004A3BE6">
            <w:p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b/>
                <w:bCs/>
                <w:color w:val="244061" w:themeColor="accent1" w:themeShade="80"/>
              </w:rPr>
              <w:t>Business Development:</w:t>
            </w:r>
          </w:p>
          <w:p w14:paraId="5087D113" w14:textId="518D7E7A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Active promotion of the business and the services that can be provided company wide</w:t>
            </w:r>
          </w:p>
          <w:p w14:paraId="056CAF2E" w14:textId="158EF2EE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Identify new business opportunities</w:t>
            </w:r>
          </w:p>
          <w:p w14:paraId="3589330E" w14:textId="77777777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Client liaison new and existing customers</w:t>
            </w:r>
          </w:p>
          <w:p w14:paraId="6B787487" w14:textId="5E2F0E61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Attending client meetings</w:t>
            </w:r>
          </w:p>
          <w:p w14:paraId="071B5416" w14:textId="77777777" w:rsidR="004A3BE6" w:rsidRPr="004A3BE6" w:rsidRDefault="004A3BE6" w:rsidP="004A3BE6">
            <w:p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b/>
                <w:bCs/>
                <w:color w:val="244061" w:themeColor="accent1" w:themeShade="80"/>
              </w:rPr>
              <w:t>Human Resources:</w:t>
            </w:r>
          </w:p>
          <w:p w14:paraId="3E7578FA" w14:textId="68422803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Maintain positive relationships with the team and </w:t>
            </w:r>
            <w:r>
              <w:rPr>
                <w:rFonts w:ascii="Arial" w:hAnsi="Arial" w:cs="Arial"/>
                <w:color w:val="244061" w:themeColor="accent1" w:themeShade="80"/>
              </w:rPr>
              <w:t>clients</w:t>
            </w:r>
          </w:p>
          <w:p w14:paraId="52C9215A" w14:textId="3BAEF65F" w:rsidR="004A3BE6" w:rsidRPr="004A3BE6" w:rsidRDefault="004A3BE6" w:rsidP="004A3BE6">
            <w:pPr>
              <w:pStyle w:val="ListParagraph"/>
              <w:widowControl w:val="0"/>
              <w:numPr>
                <w:ilvl w:val="0"/>
                <w:numId w:val="17"/>
              </w:numPr>
              <w:ind w:right="-113"/>
              <w:rPr>
                <w:rFonts w:ascii="Arial" w:hAnsi="Arial" w:cs="Arial"/>
                <w:snapToGrid w:val="0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Continuing with professional development and training where required</w:t>
            </w:r>
          </w:p>
        </w:tc>
      </w:tr>
      <w:tr w:rsidR="004A3BE6" w:rsidRPr="00C20F6A" w14:paraId="1693F4BC" w14:textId="77777777" w:rsidTr="00B9645F">
        <w:trPr>
          <w:trHeight w:val="404"/>
        </w:trPr>
        <w:tc>
          <w:tcPr>
            <w:tcW w:w="2576" w:type="dxa"/>
          </w:tcPr>
          <w:p w14:paraId="4520869F" w14:textId="0BD94FB1" w:rsidR="004A3BE6" w:rsidRPr="004A3BE6" w:rsidRDefault="004A3BE6" w:rsidP="004A3BE6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lastRenderedPageBreak/>
              <w:t>Competencies</w:t>
            </w:r>
          </w:p>
          <w:p w14:paraId="221E1331" w14:textId="596EE235" w:rsidR="004A3BE6" w:rsidRPr="004A3BE6" w:rsidRDefault="004A3BE6" w:rsidP="004A3BE6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</w:p>
        </w:tc>
        <w:tc>
          <w:tcPr>
            <w:tcW w:w="6897" w:type="dxa"/>
          </w:tcPr>
          <w:p w14:paraId="24936D04" w14:textId="190AA123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Proficiency in Microsoft </w:t>
            </w:r>
            <w:r>
              <w:rPr>
                <w:rFonts w:ascii="Arial" w:hAnsi="Arial" w:cs="Arial"/>
                <w:color w:val="244061" w:themeColor="accent1" w:themeShade="80"/>
              </w:rPr>
              <w:t>W</w:t>
            </w: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ord, </w:t>
            </w:r>
            <w:r>
              <w:rPr>
                <w:rFonts w:ascii="Arial" w:hAnsi="Arial" w:cs="Arial"/>
                <w:color w:val="244061" w:themeColor="accent1" w:themeShade="80"/>
              </w:rPr>
              <w:t>E</w:t>
            </w:r>
            <w:r w:rsidRPr="004A3BE6">
              <w:rPr>
                <w:rFonts w:ascii="Arial" w:hAnsi="Arial" w:cs="Arial"/>
                <w:color w:val="244061" w:themeColor="accent1" w:themeShade="80"/>
              </w:rPr>
              <w:t>xc</w:t>
            </w:r>
            <w:r>
              <w:rPr>
                <w:rFonts w:ascii="Arial" w:hAnsi="Arial" w:cs="Arial"/>
                <w:color w:val="244061" w:themeColor="accent1" w:themeShade="80"/>
              </w:rPr>
              <w:t>el and other MS Office software</w:t>
            </w:r>
          </w:p>
          <w:p w14:paraId="46CA0732" w14:textId="3EAE7A76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Strong </w:t>
            </w:r>
            <w:r>
              <w:rPr>
                <w:rFonts w:ascii="Arial" w:hAnsi="Arial" w:cs="Arial"/>
                <w:color w:val="244061" w:themeColor="accent1" w:themeShade="80"/>
              </w:rPr>
              <w:t>o</w:t>
            </w:r>
            <w:r w:rsidRPr="004A3BE6">
              <w:rPr>
                <w:rFonts w:ascii="Arial" w:hAnsi="Arial" w:cs="Arial"/>
                <w:color w:val="244061" w:themeColor="accent1" w:themeShade="80"/>
              </w:rPr>
              <w:t>rganisational skills</w:t>
            </w:r>
          </w:p>
          <w:p w14:paraId="4F82F3B6" w14:textId="6E88A16E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Excellent communi</w:t>
            </w:r>
            <w:r>
              <w:rPr>
                <w:rFonts w:ascii="Arial" w:hAnsi="Arial" w:cs="Arial"/>
                <w:color w:val="244061" w:themeColor="accent1" w:themeShade="80"/>
              </w:rPr>
              <w:t>cation and interpersonal skills</w:t>
            </w:r>
          </w:p>
          <w:p w14:paraId="6DCC7231" w14:textId="18AE5C1D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Docum</w:t>
            </w:r>
            <w:r>
              <w:rPr>
                <w:rFonts w:ascii="Arial" w:hAnsi="Arial" w:cs="Arial"/>
                <w:color w:val="244061" w:themeColor="accent1" w:themeShade="80"/>
              </w:rPr>
              <w:t>ent organisation and management</w:t>
            </w:r>
          </w:p>
          <w:p w14:paraId="76D2F87E" w14:textId="5E1D4957" w:rsidR="004A3BE6" w:rsidRPr="004A3BE6" w:rsidRDefault="004A3BE6" w:rsidP="004A3BE6">
            <w:pPr>
              <w:pStyle w:val="ListParagraph"/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4A3BE6" w:rsidRPr="00C20F6A" w14:paraId="28B5849A" w14:textId="77777777" w:rsidTr="00B9645F">
        <w:trPr>
          <w:trHeight w:val="404"/>
        </w:trPr>
        <w:tc>
          <w:tcPr>
            <w:tcW w:w="2576" w:type="dxa"/>
          </w:tcPr>
          <w:p w14:paraId="50C2C9CE" w14:textId="73E379FC" w:rsidR="004A3BE6" w:rsidRPr="004A3BE6" w:rsidRDefault="004A3BE6" w:rsidP="004A3BE6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Desirable</w:t>
            </w:r>
          </w:p>
        </w:tc>
        <w:tc>
          <w:tcPr>
            <w:tcW w:w="6897" w:type="dxa"/>
          </w:tcPr>
          <w:p w14:paraId="4FE49D36" w14:textId="385CEB4E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An understanding of t</w:t>
            </w:r>
            <w:r>
              <w:rPr>
                <w:rFonts w:ascii="Arial" w:hAnsi="Arial" w:cs="Arial"/>
                <w:color w:val="244061" w:themeColor="accent1" w:themeShade="80"/>
              </w:rPr>
              <w:t>he Building Regulations process</w:t>
            </w:r>
          </w:p>
          <w:p w14:paraId="106FF6DD" w14:textId="77777777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Experience of working closely within the construction environment (Architects, Principal Designer and Design and Build Contractors)</w:t>
            </w:r>
          </w:p>
          <w:p w14:paraId="325E3262" w14:textId="0CB01CA8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An overview of construction procurement ro</w:t>
            </w:r>
            <w:r>
              <w:rPr>
                <w:rFonts w:ascii="Arial" w:hAnsi="Arial" w:cs="Arial"/>
                <w:color w:val="244061" w:themeColor="accent1" w:themeShade="80"/>
              </w:rPr>
              <w:t>utes including design and build</w:t>
            </w:r>
          </w:p>
          <w:p w14:paraId="62BFB8FC" w14:textId="6F00DC5A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 xml:space="preserve">An understanding of the </w:t>
            </w:r>
            <w:r>
              <w:rPr>
                <w:rFonts w:ascii="Arial" w:hAnsi="Arial" w:cs="Arial"/>
                <w:color w:val="244061" w:themeColor="accent1" w:themeShade="80"/>
              </w:rPr>
              <w:t>CDM regulations</w:t>
            </w:r>
          </w:p>
          <w:p w14:paraId="5BC4D1E7" w14:textId="3AA465DD" w:rsidR="004A3BE6" w:rsidRPr="004A3BE6" w:rsidRDefault="004A3BE6" w:rsidP="004A3BE6">
            <w:pPr>
              <w:ind w:left="360"/>
              <w:rPr>
                <w:rFonts w:ascii="Arial" w:hAnsi="Arial" w:cs="Arial"/>
                <w:color w:val="244061" w:themeColor="accent1" w:themeShade="80"/>
              </w:rPr>
            </w:pPr>
          </w:p>
        </w:tc>
      </w:tr>
      <w:tr w:rsidR="004A3BE6" w:rsidRPr="00C20F6A" w14:paraId="2DFA8AD1" w14:textId="77777777" w:rsidTr="00B9645F">
        <w:trPr>
          <w:trHeight w:val="404"/>
        </w:trPr>
        <w:tc>
          <w:tcPr>
            <w:tcW w:w="2576" w:type="dxa"/>
          </w:tcPr>
          <w:p w14:paraId="63B3E8FB" w14:textId="7402C01E" w:rsidR="004A3BE6" w:rsidRPr="004A3BE6" w:rsidRDefault="004A3BE6" w:rsidP="004A3BE6">
            <w:pPr>
              <w:pStyle w:val="ListParagraph"/>
              <w:ind w:left="0"/>
              <w:rPr>
                <w:rFonts w:ascii="Arial" w:hAnsi="Arial" w:cs="Arial"/>
                <w:color w:val="244061" w:themeColor="accent1" w:themeShade="80"/>
              </w:rPr>
            </w:pPr>
            <w:r w:rsidRPr="004A3BE6">
              <w:rPr>
                <w:rFonts w:ascii="Arial" w:hAnsi="Arial" w:cs="Arial"/>
                <w:color w:val="244061" w:themeColor="accent1" w:themeShade="80"/>
              </w:rPr>
              <w:t>Mandatory Training</w:t>
            </w:r>
          </w:p>
        </w:tc>
        <w:tc>
          <w:tcPr>
            <w:tcW w:w="6897" w:type="dxa"/>
          </w:tcPr>
          <w:p w14:paraId="57ABCC52" w14:textId="075E6BED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4A3BE6">
              <w:rPr>
                <w:rFonts w:ascii="Arial" w:hAnsi="Arial" w:cs="Arial"/>
                <w:color w:val="244061" w:themeColor="accent1" w:themeShade="80"/>
                <w:lang w:val="en"/>
              </w:rPr>
              <w:t>SOCOTEC Online Health &amp; Safety Training modules - paid for by the company</w:t>
            </w:r>
          </w:p>
          <w:p w14:paraId="07FDC851" w14:textId="74CA555B" w:rsidR="004A3BE6" w:rsidRPr="004A3BE6" w:rsidRDefault="004A3BE6" w:rsidP="004A3B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44061" w:themeColor="accent1" w:themeShade="80"/>
                <w:lang w:val="en"/>
              </w:rPr>
            </w:pPr>
            <w:r w:rsidRPr="004A3BE6">
              <w:rPr>
                <w:rFonts w:ascii="Arial" w:hAnsi="Arial" w:cs="Arial"/>
                <w:color w:val="244061" w:themeColor="accent1" w:themeShade="80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C555F4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2320D" w14:textId="77777777" w:rsidR="003C4504" w:rsidRDefault="003C4504" w:rsidP="007A5B4B">
      <w:r>
        <w:separator/>
      </w:r>
    </w:p>
  </w:endnote>
  <w:endnote w:type="continuationSeparator" w:id="0">
    <w:p w14:paraId="494D11B1" w14:textId="77777777" w:rsidR="003C4504" w:rsidRDefault="003C4504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Office: SOCOTEC House,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Bretby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Business Park,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Ashby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England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Office: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7F98" w14:textId="77777777" w:rsidR="003C4504" w:rsidRDefault="003C4504" w:rsidP="007A5B4B">
      <w:r>
        <w:separator/>
      </w:r>
    </w:p>
  </w:footnote>
  <w:footnote w:type="continuationSeparator" w:id="0">
    <w:p w14:paraId="05251471" w14:textId="77777777" w:rsidR="003C4504" w:rsidRDefault="003C4504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7DC8EED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7AC581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848BC41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154A91D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4E9"/>
    <w:multiLevelType w:val="hybridMultilevel"/>
    <w:tmpl w:val="76D0A0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911252"/>
    <w:multiLevelType w:val="hybridMultilevel"/>
    <w:tmpl w:val="FC04A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B1722"/>
    <w:multiLevelType w:val="hybridMultilevel"/>
    <w:tmpl w:val="59FC8D0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5616CB9"/>
    <w:multiLevelType w:val="hybridMultilevel"/>
    <w:tmpl w:val="AC26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4C06"/>
    <w:multiLevelType w:val="hybridMultilevel"/>
    <w:tmpl w:val="9C12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098A"/>
    <w:multiLevelType w:val="hybridMultilevel"/>
    <w:tmpl w:val="2F5A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141B"/>
    <w:multiLevelType w:val="hybridMultilevel"/>
    <w:tmpl w:val="624E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1BF0"/>
    <w:multiLevelType w:val="hybridMultilevel"/>
    <w:tmpl w:val="1492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92DB1"/>
    <w:multiLevelType w:val="hybridMultilevel"/>
    <w:tmpl w:val="4006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22C8B"/>
    <w:multiLevelType w:val="hybridMultilevel"/>
    <w:tmpl w:val="08FE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953D7"/>
    <w:multiLevelType w:val="hybridMultilevel"/>
    <w:tmpl w:val="B652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D276C"/>
    <w:multiLevelType w:val="hybridMultilevel"/>
    <w:tmpl w:val="4B02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9"/>
  </w:num>
  <w:num w:numId="16">
    <w:abstractNumId w:val="10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37C43"/>
    <w:rsid w:val="00061E62"/>
    <w:rsid w:val="000907FE"/>
    <w:rsid w:val="000B5825"/>
    <w:rsid w:val="000C3259"/>
    <w:rsid w:val="000C4CCF"/>
    <w:rsid w:val="000D3C52"/>
    <w:rsid w:val="000E5E9D"/>
    <w:rsid w:val="000F092D"/>
    <w:rsid w:val="000F5DCC"/>
    <w:rsid w:val="001143B0"/>
    <w:rsid w:val="0011473F"/>
    <w:rsid w:val="0011742A"/>
    <w:rsid w:val="001612A4"/>
    <w:rsid w:val="0017179D"/>
    <w:rsid w:val="00176AF2"/>
    <w:rsid w:val="00190F33"/>
    <w:rsid w:val="001A124F"/>
    <w:rsid w:val="001B065F"/>
    <w:rsid w:val="002137BE"/>
    <w:rsid w:val="00223365"/>
    <w:rsid w:val="00267BF1"/>
    <w:rsid w:val="002814C7"/>
    <w:rsid w:val="00281C27"/>
    <w:rsid w:val="002C6DF8"/>
    <w:rsid w:val="003348D8"/>
    <w:rsid w:val="00343327"/>
    <w:rsid w:val="00395A8D"/>
    <w:rsid w:val="003A0BDD"/>
    <w:rsid w:val="003A69C1"/>
    <w:rsid w:val="003C012D"/>
    <w:rsid w:val="003C4504"/>
    <w:rsid w:val="003F08BA"/>
    <w:rsid w:val="004075DA"/>
    <w:rsid w:val="00446CE6"/>
    <w:rsid w:val="00451637"/>
    <w:rsid w:val="00463BA1"/>
    <w:rsid w:val="00472B26"/>
    <w:rsid w:val="004A3BE6"/>
    <w:rsid w:val="004D26CC"/>
    <w:rsid w:val="004F0D63"/>
    <w:rsid w:val="004F45F7"/>
    <w:rsid w:val="00501E5D"/>
    <w:rsid w:val="005035EE"/>
    <w:rsid w:val="005117BD"/>
    <w:rsid w:val="0052374E"/>
    <w:rsid w:val="00542B9D"/>
    <w:rsid w:val="00564F3D"/>
    <w:rsid w:val="00592025"/>
    <w:rsid w:val="005C7B10"/>
    <w:rsid w:val="005D0505"/>
    <w:rsid w:val="005D6008"/>
    <w:rsid w:val="006132D1"/>
    <w:rsid w:val="006319D6"/>
    <w:rsid w:val="00633870"/>
    <w:rsid w:val="00634F21"/>
    <w:rsid w:val="006614F4"/>
    <w:rsid w:val="006711D2"/>
    <w:rsid w:val="00674C7A"/>
    <w:rsid w:val="0069134B"/>
    <w:rsid w:val="006A1D0E"/>
    <w:rsid w:val="006B053F"/>
    <w:rsid w:val="006C7164"/>
    <w:rsid w:val="006D34D8"/>
    <w:rsid w:val="006D3B8D"/>
    <w:rsid w:val="006D5685"/>
    <w:rsid w:val="006D6476"/>
    <w:rsid w:val="006E0946"/>
    <w:rsid w:val="006E178F"/>
    <w:rsid w:val="006E33BE"/>
    <w:rsid w:val="006F0610"/>
    <w:rsid w:val="006F7EB4"/>
    <w:rsid w:val="00704005"/>
    <w:rsid w:val="00711693"/>
    <w:rsid w:val="007206F6"/>
    <w:rsid w:val="007625BE"/>
    <w:rsid w:val="00762BC5"/>
    <w:rsid w:val="00781D59"/>
    <w:rsid w:val="00785F2E"/>
    <w:rsid w:val="007954D7"/>
    <w:rsid w:val="007A5B4B"/>
    <w:rsid w:val="007C6DF7"/>
    <w:rsid w:val="007E1677"/>
    <w:rsid w:val="007F255A"/>
    <w:rsid w:val="00823976"/>
    <w:rsid w:val="00825684"/>
    <w:rsid w:val="00833BF5"/>
    <w:rsid w:val="00837468"/>
    <w:rsid w:val="008562A0"/>
    <w:rsid w:val="00860993"/>
    <w:rsid w:val="0086147A"/>
    <w:rsid w:val="00865EF8"/>
    <w:rsid w:val="00875B3D"/>
    <w:rsid w:val="008B494C"/>
    <w:rsid w:val="008D785C"/>
    <w:rsid w:val="008E03FE"/>
    <w:rsid w:val="009009CA"/>
    <w:rsid w:val="009038FD"/>
    <w:rsid w:val="00907742"/>
    <w:rsid w:val="009469FC"/>
    <w:rsid w:val="009521CC"/>
    <w:rsid w:val="009536A6"/>
    <w:rsid w:val="009558BB"/>
    <w:rsid w:val="00962829"/>
    <w:rsid w:val="009632D8"/>
    <w:rsid w:val="009A5949"/>
    <w:rsid w:val="009C382D"/>
    <w:rsid w:val="009C46B8"/>
    <w:rsid w:val="009C6AF6"/>
    <w:rsid w:val="009E3642"/>
    <w:rsid w:val="009E4D45"/>
    <w:rsid w:val="009F0196"/>
    <w:rsid w:val="009F35D6"/>
    <w:rsid w:val="00A014C7"/>
    <w:rsid w:val="00A21E40"/>
    <w:rsid w:val="00A24D6A"/>
    <w:rsid w:val="00A40CB2"/>
    <w:rsid w:val="00A670CB"/>
    <w:rsid w:val="00AA62EE"/>
    <w:rsid w:val="00AE1579"/>
    <w:rsid w:val="00AF0798"/>
    <w:rsid w:val="00B02B88"/>
    <w:rsid w:val="00B36DE1"/>
    <w:rsid w:val="00B4615E"/>
    <w:rsid w:val="00B52617"/>
    <w:rsid w:val="00B710C8"/>
    <w:rsid w:val="00B76A49"/>
    <w:rsid w:val="00B92B5A"/>
    <w:rsid w:val="00B9645F"/>
    <w:rsid w:val="00BA0FBB"/>
    <w:rsid w:val="00BA314C"/>
    <w:rsid w:val="00BD1062"/>
    <w:rsid w:val="00BD24EA"/>
    <w:rsid w:val="00BD4F4E"/>
    <w:rsid w:val="00BE2AB8"/>
    <w:rsid w:val="00BF41B7"/>
    <w:rsid w:val="00C12902"/>
    <w:rsid w:val="00C20F6A"/>
    <w:rsid w:val="00C273EE"/>
    <w:rsid w:val="00C3798F"/>
    <w:rsid w:val="00C50647"/>
    <w:rsid w:val="00C50FA8"/>
    <w:rsid w:val="00C51B9A"/>
    <w:rsid w:val="00C555F4"/>
    <w:rsid w:val="00C619C3"/>
    <w:rsid w:val="00C67932"/>
    <w:rsid w:val="00C81746"/>
    <w:rsid w:val="00C94C38"/>
    <w:rsid w:val="00CA25E5"/>
    <w:rsid w:val="00CB4300"/>
    <w:rsid w:val="00CC0A66"/>
    <w:rsid w:val="00CC6325"/>
    <w:rsid w:val="00CF6005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A5FB5"/>
    <w:rsid w:val="00DB2B8D"/>
    <w:rsid w:val="00DB3A17"/>
    <w:rsid w:val="00DC344A"/>
    <w:rsid w:val="00DD0A88"/>
    <w:rsid w:val="00DD5D92"/>
    <w:rsid w:val="00DE3150"/>
    <w:rsid w:val="00DE4659"/>
    <w:rsid w:val="00DF639B"/>
    <w:rsid w:val="00E12AA8"/>
    <w:rsid w:val="00E261D7"/>
    <w:rsid w:val="00E4058A"/>
    <w:rsid w:val="00E473C0"/>
    <w:rsid w:val="00E53A9F"/>
    <w:rsid w:val="00E53C6C"/>
    <w:rsid w:val="00E71839"/>
    <w:rsid w:val="00E8173A"/>
    <w:rsid w:val="00EA1F0E"/>
    <w:rsid w:val="00EB6F5F"/>
    <w:rsid w:val="00EF16E0"/>
    <w:rsid w:val="00EF5648"/>
    <w:rsid w:val="00F17E8C"/>
    <w:rsid w:val="00F36A3D"/>
    <w:rsid w:val="00F56B09"/>
    <w:rsid w:val="00F76083"/>
    <w:rsid w:val="00F85206"/>
    <w:rsid w:val="00F86AC7"/>
    <w:rsid w:val="00FA09ED"/>
    <w:rsid w:val="00FA642C"/>
    <w:rsid w:val="00FB5FAE"/>
    <w:rsid w:val="00FC2286"/>
    <w:rsid w:val="00FC36F7"/>
    <w:rsid w:val="00FC4F74"/>
    <w:rsid w:val="00FD34CE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2018-06-14T12:26:00Z</cp:lastPrinted>
  <dcterms:created xsi:type="dcterms:W3CDTF">2024-05-07T15:51:00Z</dcterms:created>
  <dcterms:modified xsi:type="dcterms:W3CDTF">2024-05-07T15:51:00Z</dcterms:modified>
</cp:coreProperties>
</file>