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80"/>
        <w:rPr>
          <w:b/>
          <w:b/>
          <w:color w:val="007C83"/>
          <w:sz w:val="20"/>
        </w:rPr>
      </w:pPr>
      <w:r>
        <w:rPr>
          <w:b/>
          <w:color w:val="007C83"/>
          <w:sz w:val="20"/>
        </w:rPr>
        <w:t>ST GEMMA'S HOSPICE</w:t>
      </w:r>
    </w:p>
    <w:p>
      <w:pPr>
        <w:pStyle w:val="Title"/>
        <w:rPr/>
      </w:pPr>
      <w:r>
        <w:rPr/>
        <w:t>Volunteer Applicant Privacy Notice</w:t>
      </w:r>
    </w:p>
    <w:tbl>
      <w:tblPr>
        <w:tblW w:w="9792" w:type="dxa"/>
        <w:jc w:val="center"/>
        <w:tblInd w:w="0" w:type="dxa"/>
        <w:tblCellMar>
          <w:top w:w="150" w:type="dxa"/>
          <w:left w:w="180" w:type="dxa"/>
          <w:bottom w:w="150" w:type="dxa"/>
          <w:right w:w="180" w:type="dxa"/>
        </w:tblCellMar>
      </w:tblPr>
      <w:tblGrid>
        <w:gridCol w:w="9792"/>
      </w:tblGrid>
      <w:tr>
        <w:trPr/>
        <w:tc>
          <w:tcPr>
            <w:tcW w:w="9792" w:type="dxa"/>
            <w:tcBorders/>
            <w:shd w:fill="F3EFF7" w:val="clear"/>
          </w:tcPr>
          <w:p>
            <w:pPr>
              <w:pStyle w:val="Normal"/>
              <w:spacing w:before="0" w:after="0"/>
              <w:rPr>
                <w:b/>
                <w:b/>
                <w:color w:val="5B2C83"/>
              </w:rPr>
            </w:pPr>
            <w:r>
              <w:rPr>
                <w:b/>
                <w:color w:val="5B2C83"/>
              </w:rPr>
              <w:t>This notice explains how St Gemma's Hospice uses personal information when you apply to volunteer with us.</w:t>
            </w:r>
          </w:p>
          <w:p>
            <w:pPr>
              <w:pStyle w:val="Normal"/>
              <w:spacing w:before="0" w:after="0"/>
              <w:rPr/>
            </w:pPr>
            <w:r>
              <w:rPr/>
              <w:t>It should be read alongside the St Gemma's Hospice Corporate Privacy Notice and Privacy Policy.</w:t>
            </w:r>
          </w:p>
        </w:tc>
      </w:tr>
    </w:tbl>
    <w:p>
      <w:pPr>
        <w:pStyle w:val="Heading1"/>
        <w:rPr/>
      </w:pPr>
      <w:r>
        <w:rPr/>
        <w:t>Who We Are</w:t>
      </w:r>
    </w:p>
    <w:p>
      <w:pPr>
        <w:pStyle w:val="Normal"/>
        <w:rPr/>
      </w:pPr>
      <w:r>
        <w:rPr/>
        <w:t>St Gemma's Hospice is the Data Controller for volunteer applicant information. We are responsible for deciding how personal information is collected, used, stored and protected.</w:t>
      </w:r>
    </w:p>
    <w:p>
      <w:pPr>
        <w:pStyle w:val="Normal"/>
        <w:rPr>
          <w:b/>
          <w:b/>
        </w:rPr>
      </w:pPr>
      <w:r>
        <w:rPr>
          <w:b/>
        </w:rPr>
        <w:t>Data Protection Officer / Information Manager</w:t>
      </w:r>
    </w:p>
    <w:p>
      <w:pPr>
        <w:pStyle w:val="Normal"/>
        <w:rPr/>
      </w:pPr>
      <w:r>
        <w:rPr/>
        <w:t>Tony Deighton</w:t>
        <w:br/>
        <w:t>Information Manager / Data Protection Officer</w:t>
        <w:br/>
        <w:t>St Gemma's Hospice</w:t>
        <w:br/>
        <w:t>329 Harrogate Road</w:t>
        <w:br/>
        <w:t>Leeds</w:t>
        <w:br/>
        <w:t>LS17 6QD</w:t>
        <w:br/>
        <w:br/>
        <w:t>Email: Tony.Deighton@st-gemma.co.uk</w:t>
        <w:br/>
        <w:t>Telephone: 0113 218 5500</w:t>
      </w:r>
    </w:p>
    <w:p>
      <w:pPr>
        <w:pStyle w:val="Heading1"/>
        <w:rPr/>
      </w:pPr>
      <w:r>
        <w:rPr/>
        <w:t>Why We Collect Your Information</w:t>
      </w:r>
    </w:p>
    <w:p>
      <w:pPr>
        <w:pStyle w:val="Normal"/>
        <w:rPr/>
      </w:pPr>
      <w:r>
        <w:rPr/>
        <w:t>We collect and use personal information to:</w:t>
      </w:r>
    </w:p>
    <w:p>
      <w:pPr>
        <w:pStyle w:val="ListBullet"/>
        <w:numPr>
          <w:ilvl w:val="0"/>
          <w:numId w:val="2"/>
        </w:numPr>
        <w:ind w:left="374" w:right="0" w:hanging="230"/>
        <w:rPr/>
      </w:pPr>
      <w:r>
        <w:rPr/>
        <w:t>Assess your suitability for volunteering opportunities.</w:t>
      </w:r>
    </w:p>
    <w:p>
      <w:pPr>
        <w:pStyle w:val="ListBullet"/>
        <w:numPr>
          <w:ilvl w:val="0"/>
          <w:numId w:val="2"/>
        </w:numPr>
        <w:ind w:left="374" w:right="0" w:hanging="230"/>
        <w:rPr/>
      </w:pPr>
      <w:r>
        <w:rPr/>
        <w:t>Communicate with you about your application.</w:t>
      </w:r>
    </w:p>
    <w:p>
      <w:pPr>
        <w:pStyle w:val="ListBullet"/>
        <w:numPr>
          <w:ilvl w:val="0"/>
          <w:numId w:val="2"/>
        </w:numPr>
        <w:ind w:left="374" w:right="0" w:hanging="230"/>
        <w:rPr/>
      </w:pPr>
      <w:r>
        <w:rPr/>
        <w:t>Arrange interviews, induction and onboarding.</w:t>
      </w:r>
    </w:p>
    <w:p>
      <w:pPr>
        <w:pStyle w:val="ListBullet"/>
        <w:numPr>
          <w:ilvl w:val="0"/>
          <w:numId w:val="2"/>
        </w:numPr>
        <w:ind w:left="374" w:right="0" w:hanging="230"/>
        <w:rPr/>
      </w:pPr>
      <w:r>
        <w:rPr/>
        <w:t>Obtain references where appropriate.</w:t>
      </w:r>
    </w:p>
    <w:p>
      <w:pPr>
        <w:pStyle w:val="ListBullet"/>
        <w:numPr>
          <w:ilvl w:val="0"/>
          <w:numId w:val="2"/>
        </w:numPr>
        <w:ind w:left="374" w:right="0" w:hanging="230"/>
        <w:rPr/>
      </w:pPr>
      <w:r>
        <w:rPr/>
        <w:t>Undertake safeguarding checks where required.</w:t>
      </w:r>
    </w:p>
    <w:p>
      <w:pPr>
        <w:pStyle w:val="ListBullet"/>
        <w:numPr>
          <w:ilvl w:val="0"/>
          <w:numId w:val="2"/>
        </w:numPr>
        <w:ind w:left="374" w:right="0" w:hanging="230"/>
        <w:rPr/>
      </w:pPr>
      <w:r>
        <w:rPr/>
        <w:t>Meet legal, regulatory and insurance obligations.</w:t>
      </w:r>
    </w:p>
    <w:p>
      <w:pPr>
        <w:pStyle w:val="ListBullet"/>
        <w:numPr>
          <w:ilvl w:val="0"/>
          <w:numId w:val="2"/>
        </w:numPr>
        <w:ind w:left="374" w:right="0" w:hanging="230"/>
        <w:rPr/>
      </w:pPr>
      <w:r>
        <w:rPr/>
        <w:t>Manage and support volunteers who join the Hospice.</w:t>
      </w:r>
    </w:p>
    <w:p>
      <w:pPr>
        <w:pStyle w:val="ListBullet"/>
        <w:numPr>
          <w:ilvl w:val="0"/>
          <w:numId w:val="2"/>
        </w:numPr>
        <w:ind w:left="374" w:right="0" w:hanging="230"/>
        <w:rPr/>
      </w:pPr>
      <w:r>
        <w:rPr/>
        <w:t>Monitor equality, diversity and inclusion where information is voluntarily provided.</w:t>
      </w:r>
    </w:p>
    <w:p>
      <w:pPr>
        <w:pStyle w:val="Heading1"/>
        <w:rPr/>
      </w:pPr>
      <w:r>
        <w:rPr/>
        <w:t>What Information We Collect</w:t>
      </w:r>
    </w:p>
    <w:p>
      <w:pPr>
        <w:pStyle w:val="Normal"/>
        <w:rPr/>
      </w:pPr>
      <w:r>
        <w:rPr/>
        <w:t>Depending on the role, we may collect:</w:t>
      </w:r>
    </w:p>
    <w:p>
      <w:pPr>
        <w:pStyle w:val="ListBullet"/>
        <w:numPr>
          <w:ilvl w:val="0"/>
          <w:numId w:val="2"/>
        </w:numPr>
        <w:ind w:left="374" w:right="0" w:hanging="230"/>
        <w:rPr/>
      </w:pPr>
      <w:r>
        <w:rPr/>
        <w:t>Name, address and contact details.</w:t>
      </w:r>
    </w:p>
    <w:p>
      <w:pPr>
        <w:pStyle w:val="ListBullet"/>
        <w:numPr>
          <w:ilvl w:val="0"/>
          <w:numId w:val="2"/>
        </w:numPr>
        <w:ind w:left="374" w:right="0" w:hanging="230"/>
        <w:rPr/>
      </w:pPr>
      <w:r>
        <w:rPr/>
        <w:t>Date of birth where required for insurance, safeguarding or risk management purposes.</w:t>
      </w:r>
    </w:p>
    <w:p>
      <w:pPr>
        <w:pStyle w:val="ListBullet"/>
        <w:numPr>
          <w:ilvl w:val="0"/>
          <w:numId w:val="2"/>
        </w:numPr>
        <w:ind w:left="374" w:right="0" w:hanging="230"/>
        <w:rPr/>
      </w:pPr>
      <w:r>
        <w:rPr/>
        <w:t>Application forms, CVs, correspondence, availability, skills and experience.</w:t>
      </w:r>
    </w:p>
    <w:p>
      <w:pPr>
        <w:pStyle w:val="ListBullet"/>
        <w:numPr>
          <w:ilvl w:val="0"/>
          <w:numId w:val="2"/>
        </w:numPr>
        <w:ind w:left="374" w:right="0" w:hanging="230"/>
        <w:rPr/>
      </w:pPr>
      <w:r>
        <w:rPr/>
        <w:t>Emergency contact details.</w:t>
      </w:r>
    </w:p>
    <w:p>
      <w:pPr>
        <w:pStyle w:val="ListBullet"/>
        <w:numPr>
          <w:ilvl w:val="0"/>
          <w:numId w:val="2"/>
        </w:numPr>
        <w:ind w:left="374" w:right="0" w:hanging="230"/>
        <w:rPr/>
      </w:pPr>
      <w:r>
        <w:rPr/>
        <w:t>Reference information.</w:t>
      </w:r>
    </w:p>
    <w:p>
      <w:pPr>
        <w:pStyle w:val="ListBullet"/>
        <w:numPr>
          <w:ilvl w:val="0"/>
          <w:numId w:val="2"/>
        </w:numPr>
        <w:ind w:left="374" w:right="0" w:hanging="230"/>
        <w:rPr/>
      </w:pPr>
      <w:r>
        <w:rPr/>
        <w:t>Information about adjustments you may need during the recruitment process.</w:t>
      </w:r>
    </w:p>
    <w:p>
      <w:pPr>
        <w:pStyle w:val="ListBullet"/>
        <w:numPr>
          <w:ilvl w:val="0"/>
          <w:numId w:val="2"/>
        </w:numPr>
        <w:ind w:left="374" w:right="0" w:hanging="230"/>
        <w:rPr/>
      </w:pPr>
      <w:r>
        <w:rPr/>
        <w:t>Equality monitoring information.</w:t>
      </w:r>
    </w:p>
    <w:p>
      <w:pPr>
        <w:pStyle w:val="ListBullet"/>
        <w:numPr>
          <w:ilvl w:val="0"/>
          <w:numId w:val="2"/>
        </w:numPr>
        <w:ind w:left="374" w:right="0" w:hanging="230"/>
        <w:rPr/>
      </w:pPr>
      <w:r>
        <w:rPr/>
        <w:t>Criminal conviction or Disclosure and Barring Service (DBS) information where appropriate for the role.</w:t>
      </w:r>
    </w:p>
    <w:p>
      <w:pPr>
        <w:pStyle w:val="Normal"/>
        <w:rPr/>
      </w:pPr>
      <w:r>
        <w:rPr/>
        <w:t>We only collect information that is relevant and necessary for volunteer recruitment and management purposes.</w:t>
      </w:r>
    </w:p>
    <w:p>
      <w:pPr>
        <w:pStyle w:val="Heading1"/>
        <w:rPr/>
      </w:pPr>
      <w:r>
        <w:rPr/>
        <w:t>Our Lawful Basis for Processing</w:t>
      </w:r>
    </w:p>
    <w:p>
      <w:pPr>
        <w:pStyle w:val="Normal"/>
        <w:rPr/>
      </w:pPr>
      <w:r>
        <w:rPr/>
        <w:t>We process personal information under the UK General Data Protection Regulation (UK GDPR) because:</w:t>
      </w:r>
    </w:p>
    <w:p>
      <w:pPr>
        <w:pStyle w:val="ListBullet"/>
        <w:numPr>
          <w:ilvl w:val="0"/>
          <w:numId w:val="2"/>
        </w:numPr>
        <w:ind w:left="374" w:right="0" w:hanging="230"/>
        <w:rPr/>
      </w:pPr>
      <w:r>
        <w:rPr/>
        <w:t>Processing is necessary for our legitimate interests in recruiting, managing and supporting volunteers (Article 6(1)(f)).</w:t>
      </w:r>
    </w:p>
    <w:p>
      <w:pPr>
        <w:pStyle w:val="ListBullet"/>
        <w:numPr>
          <w:ilvl w:val="0"/>
          <w:numId w:val="2"/>
        </w:numPr>
        <w:ind w:left="374" w:right="0" w:hanging="230"/>
        <w:rPr/>
      </w:pPr>
      <w:r>
        <w:rPr/>
        <w:t>Processing may be necessary to take steps at your request before entering into a volunteering arrangement (Article 6(1)(b)).</w:t>
      </w:r>
    </w:p>
    <w:p>
      <w:pPr>
        <w:pStyle w:val="ListBullet"/>
        <w:numPr>
          <w:ilvl w:val="0"/>
          <w:numId w:val="2"/>
        </w:numPr>
        <w:ind w:left="374" w:right="0" w:hanging="230"/>
        <w:rPr/>
      </w:pPr>
      <w:r>
        <w:rPr/>
        <w:t>Processing may be necessary to comply with legal obligations (Article 6(1)(c)).</w:t>
      </w:r>
    </w:p>
    <w:p>
      <w:pPr>
        <w:pStyle w:val="ListBullet"/>
        <w:numPr>
          <w:ilvl w:val="0"/>
          <w:numId w:val="2"/>
        </w:numPr>
        <w:ind w:left="374" w:right="0" w:hanging="230"/>
        <w:rPr/>
      </w:pPr>
      <w:r>
        <w:rPr/>
        <w:t>Processing may be necessary for safeguarding purposes or to protect vital interests where appropriate.</w:t>
      </w:r>
    </w:p>
    <w:p>
      <w:pPr>
        <w:pStyle w:val="Normal"/>
        <w:rPr/>
      </w:pPr>
      <w:r>
        <w:rPr/>
        <w:t>Where we process special category information, such as health information, disability information, equality monitoring information or criminal conviction information, we do so only where permitted by law and with appropriate safeguards.</w:t>
      </w:r>
    </w:p>
    <w:p>
      <w:pPr>
        <w:pStyle w:val="Heading1"/>
        <w:rPr/>
      </w:pPr>
      <w:r>
        <w:rPr/>
        <w:t>Who We Share Information With</w:t>
      </w:r>
    </w:p>
    <w:p>
      <w:pPr>
        <w:pStyle w:val="Normal"/>
        <w:rPr/>
      </w:pPr>
      <w:r>
        <w:rPr/>
        <w:t>We may share information with:</w:t>
      </w:r>
    </w:p>
    <w:p>
      <w:pPr>
        <w:pStyle w:val="ListBullet"/>
        <w:numPr>
          <w:ilvl w:val="0"/>
          <w:numId w:val="2"/>
        </w:numPr>
        <w:ind w:left="374" w:right="0" w:hanging="230"/>
        <w:rPr/>
      </w:pPr>
      <w:r>
        <w:rPr/>
        <w:t>Relevant St Gemma's Hospice staff involved in volunteer recruitment and management.</w:t>
      </w:r>
    </w:p>
    <w:p>
      <w:pPr>
        <w:pStyle w:val="ListBullet"/>
        <w:numPr>
          <w:ilvl w:val="0"/>
          <w:numId w:val="2"/>
        </w:numPr>
        <w:ind w:left="374" w:right="0" w:hanging="230"/>
        <w:rPr/>
      </w:pPr>
      <w:r>
        <w:rPr/>
        <w:t>Referees you have nominated.</w:t>
      </w:r>
    </w:p>
    <w:p>
      <w:pPr>
        <w:pStyle w:val="ListBullet"/>
        <w:numPr>
          <w:ilvl w:val="0"/>
          <w:numId w:val="2"/>
        </w:numPr>
        <w:ind w:left="374" w:right="0" w:hanging="230"/>
        <w:rPr/>
      </w:pPr>
      <w:r>
        <w:rPr/>
        <w:t>The Disclosure and Barring Service (DBS), where a check is required.</w:t>
      </w:r>
    </w:p>
    <w:p>
      <w:pPr>
        <w:pStyle w:val="ListBullet"/>
        <w:numPr>
          <w:ilvl w:val="0"/>
          <w:numId w:val="2"/>
        </w:numPr>
        <w:ind w:left="374" w:right="0" w:hanging="230"/>
        <w:rPr/>
      </w:pPr>
      <w:r>
        <w:rPr/>
        <w:t>Recruitment, HR, volunteer management and IT providers acting on our behalf and under our instructions.</w:t>
      </w:r>
    </w:p>
    <w:p>
      <w:pPr>
        <w:pStyle w:val="ListBullet"/>
        <w:numPr>
          <w:ilvl w:val="0"/>
          <w:numId w:val="2"/>
        </w:numPr>
        <w:ind w:left="374" w:right="0" w:hanging="230"/>
        <w:rPr/>
      </w:pPr>
      <w:r>
        <w:rPr/>
        <w:t>Regulatory or law enforcement bodies where disclosure is required by law.</w:t>
      </w:r>
    </w:p>
    <w:p>
      <w:pPr>
        <w:pStyle w:val="Normal"/>
        <w:rPr/>
      </w:pPr>
      <w:r>
        <w:rPr/>
        <w:t>We will never sell your personal information.</w:t>
      </w:r>
    </w:p>
    <w:p>
      <w:pPr>
        <w:pStyle w:val="Heading1"/>
        <w:rPr/>
      </w:pPr>
      <w:r>
        <w:rPr/>
        <w:t>International Transfers</w:t>
      </w:r>
    </w:p>
    <w:p>
      <w:pPr>
        <w:pStyle w:val="Normal"/>
        <w:rPr/>
      </w:pPr>
      <w:r>
        <w:rPr/>
        <w:t>We do not normally transfer volunteer applicant information outside the United Kingdom.</w:t>
      </w:r>
    </w:p>
    <w:p>
      <w:pPr>
        <w:pStyle w:val="Normal"/>
        <w:rPr/>
      </w:pPr>
      <w:r>
        <w:rPr/>
        <w:t>If information is processed outside the UK, appropriate safeguards will be implemented in accordance with UK data protection law.</w:t>
      </w:r>
    </w:p>
    <w:p>
      <w:pPr>
        <w:pStyle w:val="Heading1"/>
        <w:rPr/>
      </w:pPr>
      <w:r>
        <w:rPr/>
        <w:t>How We Keep Information Secure</w:t>
      </w:r>
    </w:p>
    <w:p>
      <w:pPr>
        <w:pStyle w:val="Normal"/>
        <w:rPr/>
      </w:pPr>
      <w:r>
        <w:rPr/>
        <w:t>We use appropriate technical and organisational measures to protect personal information from:</w:t>
      </w:r>
    </w:p>
    <w:p>
      <w:pPr>
        <w:pStyle w:val="ListBullet"/>
        <w:numPr>
          <w:ilvl w:val="0"/>
          <w:numId w:val="2"/>
        </w:numPr>
        <w:ind w:left="374" w:right="0" w:hanging="230"/>
        <w:rPr/>
      </w:pPr>
      <w:r>
        <w:rPr/>
        <w:t>Unauthorised access.</w:t>
      </w:r>
    </w:p>
    <w:p>
      <w:pPr>
        <w:pStyle w:val="ListBullet"/>
        <w:numPr>
          <w:ilvl w:val="0"/>
          <w:numId w:val="2"/>
        </w:numPr>
        <w:ind w:left="374" w:right="0" w:hanging="230"/>
        <w:rPr/>
      </w:pPr>
      <w:r>
        <w:rPr/>
        <w:t>Loss or destruction.</w:t>
      </w:r>
    </w:p>
    <w:p>
      <w:pPr>
        <w:pStyle w:val="ListBullet"/>
        <w:numPr>
          <w:ilvl w:val="0"/>
          <w:numId w:val="2"/>
        </w:numPr>
        <w:ind w:left="374" w:right="0" w:hanging="230"/>
        <w:rPr/>
      </w:pPr>
      <w:r>
        <w:rPr/>
        <w:t>Misuse.</w:t>
      </w:r>
    </w:p>
    <w:p>
      <w:pPr>
        <w:pStyle w:val="ListBullet"/>
        <w:numPr>
          <w:ilvl w:val="0"/>
          <w:numId w:val="2"/>
        </w:numPr>
        <w:ind w:left="374" w:right="0" w:hanging="230"/>
        <w:rPr/>
      </w:pPr>
      <w:r>
        <w:rPr/>
        <w:t>Accidental disclosure.</w:t>
      </w:r>
    </w:p>
    <w:p>
      <w:pPr>
        <w:pStyle w:val="Normal"/>
        <w:rPr/>
      </w:pPr>
      <w:r>
        <w:rPr/>
        <w:t>Access to personal information is restricted to those who need it for legitimate volunteering, recruitment or governance purposes.</w:t>
      </w:r>
    </w:p>
    <w:p>
      <w:pPr>
        <w:pStyle w:val="Heading1"/>
        <w:rPr/>
      </w:pPr>
      <w:r>
        <w:rPr/>
        <w:t>How Long We Keep Information</w:t>
      </w:r>
    </w:p>
    <w:p>
      <w:pPr>
        <w:pStyle w:val="Normal"/>
        <w:rPr/>
      </w:pPr>
      <w:r>
        <w:rPr/>
        <w:t xml:space="preserve">If your application is unsuccessful, we will normally retain your information for up to </w:t>
      </w:r>
      <w:r>
        <w:rPr>
          <w:b/>
        </w:rPr>
        <w:t>12 months</w:t>
      </w:r>
      <w:r>
        <w:rPr/>
        <w:t xml:space="preserve"> following completion of the recruitment process before securely deleting or anonymising it.</w:t>
      </w:r>
    </w:p>
    <w:p>
      <w:pPr>
        <w:pStyle w:val="Normal"/>
        <w:rPr/>
      </w:pPr>
      <w:r>
        <w:rPr/>
        <w:t>This enables us to respond to recruitment queries, complaints or legal claims and demonstrate that recruitment decisions were made fairly and consistently.</w:t>
      </w:r>
    </w:p>
    <w:p>
      <w:pPr>
        <w:pStyle w:val="Normal"/>
        <w:rPr/>
      </w:pPr>
      <w:r>
        <w:rPr/>
        <w:t>If you become a volunteer, relevant information will be transferred to your volunteer record and retained in accordance with the Hospice Records Retention Schedule.</w:t>
      </w:r>
    </w:p>
    <w:p>
      <w:pPr>
        <w:pStyle w:val="Heading1"/>
        <w:rPr/>
      </w:pPr>
      <w:r>
        <w:rPr/>
        <w:t>Your Rights</w:t>
      </w:r>
    </w:p>
    <w:p>
      <w:pPr>
        <w:pStyle w:val="Normal"/>
        <w:rPr/>
      </w:pPr>
      <w:r>
        <w:rPr/>
        <w:t>Subject to certain legal limitations, you have the right to:</w:t>
      </w:r>
    </w:p>
    <w:p>
      <w:pPr>
        <w:pStyle w:val="ListBullet"/>
        <w:numPr>
          <w:ilvl w:val="0"/>
          <w:numId w:val="2"/>
        </w:numPr>
        <w:ind w:left="374" w:right="0" w:hanging="230"/>
        <w:rPr/>
      </w:pPr>
      <w:r>
        <w:rPr/>
        <w:t>Access your personal information.</w:t>
      </w:r>
    </w:p>
    <w:p>
      <w:pPr>
        <w:pStyle w:val="ListBullet"/>
        <w:numPr>
          <w:ilvl w:val="0"/>
          <w:numId w:val="2"/>
        </w:numPr>
        <w:ind w:left="374" w:right="0" w:hanging="230"/>
        <w:rPr/>
      </w:pPr>
      <w:r>
        <w:rPr/>
        <w:t>Request correction of inaccurate information.</w:t>
      </w:r>
    </w:p>
    <w:p>
      <w:pPr>
        <w:pStyle w:val="ListBullet"/>
        <w:numPr>
          <w:ilvl w:val="0"/>
          <w:numId w:val="2"/>
        </w:numPr>
        <w:ind w:left="374" w:right="0" w:hanging="230"/>
        <w:rPr/>
      </w:pPr>
      <w:r>
        <w:rPr/>
        <w:t>Request deletion where applicable.</w:t>
      </w:r>
    </w:p>
    <w:p>
      <w:pPr>
        <w:pStyle w:val="ListBullet"/>
        <w:numPr>
          <w:ilvl w:val="0"/>
          <w:numId w:val="2"/>
        </w:numPr>
        <w:ind w:left="374" w:right="0" w:hanging="230"/>
        <w:rPr/>
      </w:pPr>
      <w:r>
        <w:rPr/>
        <w:t>Object to certain processing activities.</w:t>
      </w:r>
    </w:p>
    <w:p>
      <w:pPr>
        <w:pStyle w:val="ListBullet"/>
        <w:numPr>
          <w:ilvl w:val="0"/>
          <w:numId w:val="2"/>
        </w:numPr>
        <w:ind w:left="374" w:right="0" w:hanging="230"/>
        <w:rPr/>
      </w:pPr>
      <w:r>
        <w:rPr/>
        <w:t>Request restriction of processing.</w:t>
      </w:r>
    </w:p>
    <w:p>
      <w:pPr>
        <w:pStyle w:val="ListBullet"/>
        <w:numPr>
          <w:ilvl w:val="0"/>
          <w:numId w:val="2"/>
        </w:numPr>
        <w:ind w:left="374" w:right="0" w:hanging="230"/>
        <w:rPr/>
      </w:pPr>
      <w:r>
        <w:rPr/>
        <w:t>Withdraw consent where we rely on consent.</w:t>
      </w:r>
    </w:p>
    <w:p>
      <w:pPr>
        <w:pStyle w:val="ListBullet"/>
        <w:numPr>
          <w:ilvl w:val="0"/>
          <w:numId w:val="2"/>
        </w:numPr>
        <w:ind w:left="374" w:right="0" w:hanging="230"/>
        <w:rPr/>
      </w:pPr>
      <w:r>
        <w:rPr/>
        <w:t>Lodge a complaint about how your information has been handled.</w:t>
      </w:r>
    </w:p>
    <w:p>
      <w:pPr>
        <w:pStyle w:val="Heading1"/>
        <w:rPr/>
      </w:pPr>
      <w:r>
        <w:rPr/>
        <w:t>Complaints</w:t>
      </w:r>
    </w:p>
    <w:p>
      <w:pPr>
        <w:pStyle w:val="Normal"/>
        <w:rPr/>
      </w:pPr>
      <w:r>
        <w:rPr/>
        <w:t>If you have any concerns about how your information is being used, please contact the Data Protection Officer in the first instance.</w:t>
      </w:r>
    </w:p>
    <w:p>
      <w:pPr>
        <w:pStyle w:val="Normal"/>
        <w:rPr/>
      </w:pPr>
      <w:r>
        <w:rPr/>
        <w:t>You also have the right to complain directly to the Information Commissioner's Office (ICO):</w:t>
      </w:r>
    </w:p>
    <w:p>
      <w:pPr>
        <w:pStyle w:val="Normal"/>
        <w:rPr/>
      </w:pPr>
      <w:r>
        <w:rPr/>
        <w:t>Information Commissioner's Office</w:t>
        <w:br/>
        <w:t>Wycliffe House</w:t>
        <w:br/>
        <w:t>Water Lane</w:t>
        <w:br/>
        <w:t>Wilmslow</w:t>
        <w:br/>
        <w:t>Cheshire</w:t>
        <w:br/>
        <w:t>SK9 5AF</w:t>
        <w:br/>
        <w:br/>
        <w:t>Website: https://ico.org.uk</w:t>
      </w:r>
    </w:p>
    <w:p>
      <w:pPr>
        <w:pStyle w:val="Heading1"/>
        <w:rPr/>
      </w:pPr>
      <w:r>
        <w:rPr/>
        <w:t>Further Information</w:t>
      </w:r>
    </w:p>
    <w:p>
      <w:pPr>
        <w:pStyle w:val="Normal"/>
        <w:rPr/>
      </w:pPr>
      <w:r>
        <w:rPr/>
        <w:t>For more information about how St Gemma's Hospice uses personal information, please read our Corporate Privacy Notice and Privacy Policy, available on our website or from the Volunteer Services Team.</w:t>
      </w:r>
    </w:p>
    <w:p>
      <w:pPr>
        <w:pStyle w:val="Heading1"/>
        <w:rPr/>
      </w:pPr>
      <w:r>
        <w:rPr/>
        <w:t>References</w:t>
      </w:r>
    </w:p>
    <w:p>
      <w:pPr>
        <w:pStyle w:val="ListBullet"/>
        <w:numPr>
          <w:ilvl w:val="0"/>
          <w:numId w:val="2"/>
        </w:numPr>
        <w:ind w:left="374" w:right="0" w:hanging="230"/>
        <w:rPr/>
      </w:pPr>
      <w:r>
        <w:rPr/>
        <w:t>UK General Data Protection Regulation (UK GDPR)</w:t>
      </w:r>
    </w:p>
    <w:p>
      <w:pPr>
        <w:pStyle w:val="ListBullet"/>
        <w:numPr>
          <w:ilvl w:val="0"/>
          <w:numId w:val="2"/>
        </w:numPr>
        <w:ind w:left="374" w:right="0" w:hanging="230"/>
        <w:rPr/>
      </w:pPr>
      <w:r>
        <w:rPr/>
        <w:t>Data Protection Act 2018</w:t>
      </w:r>
    </w:p>
    <w:p>
      <w:pPr>
        <w:pStyle w:val="ListBullet"/>
        <w:numPr>
          <w:ilvl w:val="0"/>
          <w:numId w:val="2"/>
        </w:numPr>
        <w:ind w:left="374" w:right="0" w:hanging="230"/>
        <w:rPr/>
      </w:pPr>
      <w:r>
        <w:rPr/>
        <w:t>Information Commissioner's Office (ICO) guidance on Privacy Information</w:t>
      </w:r>
    </w:p>
    <w:p>
      <w:pPr>
        <w:pStyle w:val="ListBullet"/>
        <w:numPr>
          <w:ilvl w:val="0"/>
          <w:numId w:val="2"/>
        </w:numPr>
        <w:ind w:left="374" w:right="0" w:hanging="230"/>
        <w:rPr/>
      </w:pPr>
      <w:r>
        <w:rPr/>
        <w:t>St Gemma's Hospice Corporate Privacy Notice</w:t>
      </w:r>
    </w:p>
    <w:p>
      <w:pPr>
        <w:pStyle w:val="ListBullet"/>
        <w:numPr>
          <w:ilvl w:val="0"/>
          <w:numId w:val="2"/>
        </w:numPr>
        <w:spacing w:before="0" w:after="120"/>
        <w:ind w:left="374" w:right="0" w:hanging="230"/>
        <w:contextualSpacing/>
        <w:rPr/>
      </w:pPr>
      <w:r>
        <w:rPr/>
        <w:t>St Gemma's Hospice Records Retention Schedule</w:t>
      </w:r>
    </w:p>
    <w:sectPr>
      <w:headerReference w:type="default" r:id="rId2"/>
      <w:footerReference w:type="default" r:id="rId3"/>
      <w:type w:val="nextPage"/>
      <w:pgSz w:w="12240" w:h="15840"/>
      <w:pgMar w:left="1224" w:right="1224" w:header="720" w:top="1037" w:footer="720" w:bottom="979"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color w:val="666666"/>
        <w:sz w:val="16"/>
      </w:rPr>
    </w:pPr>
    <w:r>
      <w:rPr>
        <w:color w:val="666666"/>
        <w:sz w:val="16"/>
      </w:rPr>
      <w:t>Final draft for approval  |  Volunteer Applicant Privacy Notice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b/>
        <w:b/>
        <w:color w:val="5B2C83"/>
        <w:sz w:val="16"/>
      </w:rPr>
    </w:pPr>
    <w:r>
      <w:rPr>
        <w:b/>
        <w:color w:val="5B2C83"/>
        <w:sz w:val="16"/>
      </w:rPr>
      <w:t>ST GEMMA'S HOSPICE  |  PRIVACY NOTICE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20"/>
      <w:jc w:val="left"/>
    </w:pPr>
    <w:rPr>
      <w:rFonts w:ascii="Arial" w:hAnsi="Arial" w:eastAsia="ＭＳ 明朝" w:cs=""/>
      <w:color w:val="2F243A"/>
      <w:kern w:val="0"/>
      <w:sz w:val="21"/>
      <w:szCs w:val="22"/>
      <w:lang w:val="en-US" w:eastAsia="en-US" w:bidi="ar-SA"/>
    </w:rPr>
  </w:style>
  <w:style w:type="paragraph" w:styleId="Heading1">
    <w:name w:val="Heading 1"/>
    <w:basedOn w:val="Normal"/>
    <w:next w:val="Normal"/>
    <w:qFormat/>
    <w:pPr>
      <w:keepNext w:val="true"/>
      <w:keepLines/>
      <w:numPr>
        <w:ilvl w:val="0"/>
        <w:numId w:val="1"/>
      </w:numPr>
      <w:spacing w:before="280" w:after="120"/>
      <w:outlineLvl w:val="0"/>
    </w:pPr>
    <w:rPr>
      <w:rFonts w:ascii="Calibri" w:hAnsi="Calibri" w:eastAsia="ＭＳ ゴシック" w:cs=""/>
      <w:b/>
      <w:bCs/>
      <w:color w:val="5B2C83"/>
      <w:sz w:val="30"/>
      <w:szCs w:val="28"/>
    </w:rPr>
  </w:style>
  <w:style w:type="paragraph" w:styleId="Heading2">
    <w:name w:val="Heading 2"/>
    <w:basedOn w:val="Normal"/>
    <w:next w:val="Normal"/>
    <w:qFormat/>
    <w:pPr>
      <w:keepNext w:val="true"/>
      <w:keepLines/>
      <w:numPr>
        <w:ilvl w:val="1"/>
        <w:numId w:val="1"/>
      </w:numPr>
      <w:spacing w:before="200" w:after="80"/>
      <w:outlineLvl w:val="1"/>
    </w:pPr>
    <w:rPr>
      <w:rFonts w:ascii="Calibri" w:hAnsi="Calibri" w:eastAsia="ＭＳ ゴシック" w:cs=""/>
      <w:b/>
      <w:bCs/>
      <w:color w:val="007C83"/>
      <w:sz w:val="24"/>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
      <w:b/>
      <w:bCs/>
      <w:color w:val="4F81BD"/>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 w:val="20"/>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 w:val="20"/>
      <w:szCs w:val="20"/>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Normal"/>
    <w:pPr>
      <w:spacing w:before="0" w:after="120"/>
      <w:ind w:left="360" w:right="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mbria" w:hAnsi="Cambria" w:eastAsia="ＭＳ 明朝" w:cs=""/>
      <w:color w:val="auto"/>
      <w:kern w:val="0"/>
      <w:sz w:val="21"/>
      <w:szCs w:val="22"/>
      <w:lang w:val="en-US" w:eastAsia="en-US" w:bidi="ar-SA"/>
    </w:rPr>
  </w:style>
  <w:style w:type="paragraph" w:styleId="Title">
    <w:name w:val="Title"/>
    <w:basedOn w:val="Normal"/>
    <w:next w:val="Normal"/>
    <w:qFormat/>
    <w:pPr>
      <w:keepNext w:val="true"/>
      <w:pBdr>
        <w:bottom w:val="single" w:sz="8" w:space="4" w:color="4F81BD"/>
      </w:pBdr>
      <w:spacing w:lineRule="auto" w:line="240" w:before="0" w:after="160"/>
      <w:contextualSpacing/>
    </w:pPr>
    <w:rPr>
      <w:rFonts w:ascii="Calibri" w:hAnsi="Calibri" w:eastAsia="ＭＳ ゴシック" w:cs=""/>
      <w:b/>
      <w:color w:val="5B2C83"/>
      <w:spacing w:val="5"/>
      <w:kern w:val="2"/>
      <w:sz w:val="50"/>
      <w:szCs w:val="52"/>
    </w:rPr>
  </w:style>
  <w:style w:type="paragraph" w:styleId="Subtitle">
    <w:name w:val="Subtitle"/>
    <w:basedOn w:val="Normal"/>
    <w:next w:val="Normal"/>
    <w:qFormat/>
    <w:pPr>
      <w:keepNext w:val="true"/>
      <w:spacing w:before="0" w:after="320"/>
    </w:pPr>
    <w:rPr>
      <w:rFonts w:ascii="Calibri" w:hAnsi="Calibri" w:eastAsia="ＭＳ ゴシック" w:cs=""/>
      <w:i/>
      <w:iCs/>
      <w:color w:val="007C83"/>
      <w:spacing w:val="15"/>
      <w:sz w:val="26"/>
      <w:szCs w:val="24"/>
    </w:rPr>
  </w:style>
  <w:style w:type="paragraph" w:styleId="ListParagraph">
    <w:name w:val="List Paragraph"/>
    <w:basedOn w:val="Normal"/>
    <w:qFormat/>
    <w:pPr>
      <w:spacing w:before="0" w:after="120"/>
      <w:ind w:left="720" w:right="0" w:hanging="0"/>
      <w:contextualSpacing/>
    </w:pPr>
    <w:rPr/>
  </w:style>
  <w:style w:type="paragraph" w:styleId="BodyText2">
    <w:name w:val="Body Text 2"/>
    <w:basedOn w:val="Normal"/>
    <w:qFormat/>
    <w:pPr>
      <w:spacing w:lineRule="auto" w:line="480"/>
    </w:pPr>
    <w:rPr/>
  </w:style>
  <w:style w:type="paragraph" w:styleId="BodyText3">
    <w:name w:val="Body Text 3"/>
    <w:basedOn w:val="Normal"/>
    <w:qFormat/>
    <w:pPr/>
    <w:rPr>
      <w:sz w:val="16"/>
      <w:szCs w:val="16"/>
    </w:rPr>
  </w:style>
  <w:style w:type="paragraph" w:styleId="List2">
    <w:name w:val="List Bullet 3"/>
    <w:basedOn w:val="Normal"/>
    <w:pPr>
      <w:spacing w:before="0" w:after="120"/>
      <w:ind w:left="720" w:right="0" w:hanging="360"/>
      <w:contextualSpacing/>
    </w:pPr>
    <w:rPr/>
  </w:style>
  <w:style w:type="paragraph" w:styleId="List3">
    <w:name w:val="List Bullet 4"/>
    <w:basedOn w:val="Normal"/>
    <w:pPr>
      <w:spacing w:before="0" w:after="120"/>
      <w:ind w:left="1080" w:right="0" w:hanging="360"/>
      <w:contextualSpacing/>
    </w:pPr>
    <w:rPr/>
  </w:style>
  <w:style w:type="paragraph" w:styleId="ListBullet">
    <w:name w:val="List Bullet"/>
    <w:basedOn w:val="Normal"/>
    <w:qFormat/>
    <w:pPr>
      <w:spacing w:before="0" w:after="120"/>
      <w:contextualSpacing/>
    </w:pPr>
    <w:rPr/>
  </w:style>
  <w:style w:type="paragraph" w:styleId="ListBullet2">
    <w:name w:val="List Bullet 2"/>
    <w:basedOn w:val="Normal"/>
    <w:qFormat/>
    <w:pPr>
      <w:spacing w:before="0" w:after="120"/>
      <w:contextualSpacing/>
    </w:pPr>
    <w:rPr/>
  </w:style>
  <w:style w:type="paragraph" w:styleId="ListBullet3">
    <w:name w:val="List Bullet 3"/>
    <w:basedOn w:val="Normal"/>
    <w:qFormat/>
    <w:pPr>
      <w:spacing w:before="0" w:after="120"/>
      <w:contextualSpacing/>
    </w:pPr>
    <w:rPr/>
  </w:style>
  <w:style w:type="paragraph" w:styleId="ListNumber">
    <w:name w:val="List Number"/>
    <w:basedOn w:val="Normal"/>
    <w:qFormat/>
    <w:pPr>
      <w:spacing w:before="0" w:after="120"/>
      <w:contextualSpacing/>
    </w:pPr>
    <w:rPr/>
  </w:style>
  <w:style w:type="paragraph" w:styleId="ListNumber2">
    <w:name w:val="List Number 2"/>
    <w:basedOn w:val="Normal"/>
    <w:qFormat/>
    <w:pPr>
      <w:spacing w:before="0" w:after="120"/>
      <w:contextualSpacing/>
    </w:pPr>
    <w:rPr/>
  </w:style>
  <w:style w:type="paragraph" w:styleId="ListNumber3">
    <w:name w:val="List Number 3"/>
    <w:basedOn w:val="Normal"/>
    <w:qFormat/>
    <w:pPr>
      <w:spacing w:before="0" w:after="120"/>
      <w:contextualSpacing/>
    </w:pPr>
    <w:rPr/>
  </w:style>
  <w:style w:type="paragraph" w:styleId="ListContinue">
    <w:name w:val="List Continue"/>
    <w:basedOn w:val="Normal"/>
    <w:qFormat/>
    <w:pPr>
      <w:spacing w:before="0" w:after="120"/>
      <w:ind w:left="360" w:right="0" w:hanging="0"/>
      <w:contextualSpacing/>
    </w:pPr>
    <w:rPr/>
  </w:style>
  <w:style w:type="paragraph" w:styleId="ListContinue2">
    <w:name w:val="List Continue 2"/>
    <w:basedOn w:val="Normal"/>
    <w:qFormat/>
    <w:pPr>
      <w:spacing w:before="0" w:after="120"/>
      <w:ind w:left="720" w:right="0" w:hanging="0"/>
      <w:contextualSpacing/>
    </w:pPr>
    <w:rPr/>
  </w:style>
  <w:style w:type="paragraph" w:styleId="ListContinue3">
    <w:name w:val="List Continue 3"/>
    <w:basedOn w:val="Normal"/>
    <w:qFormat/>
    <w:pPr>
      <w:spacing w:before="0" w:after="120"/>
      <w:ind w:left="1080" w:right="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
    <w:basedOn w:val="Normal"/>
    <w:next w:val="Normal"/>
    <w:qFormat/>
    <w:pPr>
      <w:spacing w:lineRule="auto" w:line="240"/>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TOCHeading">
    <w:name w:val="TOC Heading"/>
    <w:basedOn w:val="Heading1"/>
    <w:next w:val="Normal"/>
    <w:qFormat/>
    <w:pPr>
      <w:numPr>
        <w:ilvl w:val="0"/>
        <w:numId w:val="0"/>
      </w:numP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