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F2E3" w14:textId="77777777" w:rsidR="00D84798" w:rsidRPr="00703E5A" w:rsidRDefault="00D257CD" w:rsidP="00ED4717">
      <w:pPr>
        <w:pStyle w:val="Heading1"/>
        <w:ind w:left="-851"/>
        <w:jc w:val="center"/>
        <w:rPr>
          <w:rFonts w:ascii="Arial" w:hAnsi="Arial"/>
          <w:b/>
          <w:sz w:val="28"/>
        </w:rPr>
      </w:pPr>
      <w:r w:rsidRPr="00703E5A">
        <w:rPr>
          <w:rFonts w:ascii="Arial" w:hAnsi="Arial"/>
          <w:b/>
          <w:sz w:val="28"/>
        </w:rPr>
        <w:t>ROLE</w:t>
      </w:r>
      <w:r w:rsidR="0082317F" w:rsidRPr="00703E5A">
        <w:rPr>
          <w:rFonts w:ascii="Arial" w:hAnsi="Arial"/>
          <w:b/>
          <w:sz w:val="28"/>
        </w:rPr>
        <w:t xml:space="preserve"> PROFILE</w:t>
      </w:r>
    </w:p>
    <w:tbl>
      <w:tblPr>
        <w:tblStyle w:val="TableGrid"/>
        <w:tblW w:w="1091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2410"/>
        <w:gridCol w:w="1614"/>
        <w:gridCol w:w="4342"/>
      </w:tblGrid>
      <w:tr w:rsidR="007E6FD0" w:rsidRPr="00703E5A" w14:paraId="09827C80" w14:textId="77777777" w:rsidTr="007E6FD0">
        <w:tc>
          <w:tcPr>
            <w:tcW w:w="1560" w:type="dxa"/>
            <w:shd w:val="clear" w:color="auto" w:fill="E7E6E6" w:themeFill="background2"/>
          </w:tcPr>
          <w:p w14:paraId="51EF6621" w14:textId="77777777" w:rsidR="00DD237D" w:rsidRPr="00703E5A" w:rsidRDefault="00DD237D">
            <w:pPr>
              <w:rPr>
                <w:rFonts w:ascii="Arial" w:hAnsi="Arial" w:cs="Arial"/>
                <w:b/>
              </w:rPr>
            </w:pPr>
            <w:r w:rsidRPr="00703E5A"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3402" w:type="dxa"/>
            <w:gridSpan w:val="2"/>
          </w:tcPr>
          <w:p w14:paraId="40B17B35" w14:textId="23BFE58E" w:rsidR="002B17D5" w:rsidRPr="00703E5A" w:rsidRDefault="00D01AF9" w:rsidP="0003289A">
            <w:pPr>
              <w:rPr>
                <w:rFonts w:ascii="Arial" w:hAnsi="Arial" w:cs="Arial"/>
              </w:rPr>
            </w:pPr>
            <w:r w:rsidRPr="00703E5A">
              <w:rPr>
                <w:rFonts w:ascii="Arial" w:hAnsi="Arial" w:cs="Arial"/>
              </w:rPr>
              <w:t>Quantity Surveyo</w:t>
            </w:r>
            <w:r w:rsidR="007A5C13" w:rsidRPr="00703E5A">
              <w:rPr>
                <w:rFonts w:ascii="Arial" w:hAnsi="Arial" w:cs="Arial"/>
              </w:rPr>
              <w:t>r</w:t>
            </w:r>
          </w:p>
        </w:tc>
        <w:tc>
          <w:tcPr>
            <w:tcW w:w="1614" w:type="dxa"/>
            <w:shd w:val="clear" w:color="auto" w:fill="E7E6E6" w:themeFill="background2"/>
          </w:tcPr>
          <w:p w14:paraId="73D07572" w14:textId="77777777" w:rsidR="00DD237D" w:rsidRPr="00703E5A" w:rsidRDefault="00DD237D" w:rsidP="00DD237D">
            <w:pPr>
              <w:rPr>
                <w:rFonts w:ascii="Arial" w:hAnsi="Arial" w:cs="Arial"/>
                <w:b/>
              </w:rPr>
            </w:pPr>
            <w:r w:rsidRPr="00703E5A">
              <w:rPr>
                <w:rFonts w:ascii="Arial" w:hAnsi="Arial" w:cs="Arial"/>
                <w:b/>
              </w:rPr>
              <w:t>Reporting to:</w:t>
            </w:r>
          </w:p>
        </w:tc>
        <w:tc>
          <w:tcPr>
            <w:tcW w:w="4342" w:type="dxa"/>
          </w:tcPr>
          <w:p w14:paraId="6263FD90" w14:textId="521B61D4" w:rsidR="003054F1" w:rsidRPr="00703E5A" w:rsidRDefault="00F930E4" w:rsidP="0044391E">
            <w:pPr>
              <w:rPr>
                <w:rFonts w:ascii="Arial" w:hAnsi="Arial" w:cs="Arial"/>
              </w:rPr>
            </w:pPr>
            <w:r w:rsidRPr="00703E5A">
              <w:rPr>
                <w:rFonts w:ascii="Arial" w:hAnsi="Arial" w:cs="Arial"/>
              </w:rPr>
              <w:t>Quantity Survey</w:t>
            </w:r>
            <w:r w:rsidR="00501B0B" w:rsidRPr="00703E5A">
              <w:rPr>
                <w:rFonts w:ascii="Arial" w:hAnsi="Arial" w:cs="Arial"/>
              </w:rPr>
              <w:t>or</w:t>
            </w:r>
            <w:r w:rsidR="003B7481" w:rsidRPr="00703E5A">
              <w:rPr>
                <w:rFonts w:ascii="Arial" w:hAnsi="Arial" w:cs="Arial"/>
              </w:rPr>
              <w:t xml:space="preserve"> Manager</w:t>
            </w:r>
          </w:p>
          <w:p w14:paraId="1F368469" w14:textId="46F93B47" w:rsidR="007E6FD0" w:rsidRPr="00703E5A" w:rsidRDefault="007E6FD0" w:rsidP="0044391E">
            <w:pPr>
              <w:rPr>
                <w:rFonts w:ascii="Arial" w:hAnsi="Arial" w:cs="Arial"/>
              </w:rPr>
            </w:pPr>
          </w:p>
        </w:tc>
      </w:tr>
      <w:tr w:rsidR="00E02F20" w:rsidRPr="00703E5A" w14:paraId="25C2EE8E" w14:textId="77777777" w:rsidTr="007E6FD0">
        <w:tc>
          <w:tcPr>
            <w:tcW w:w="1560" w:type="dxa"/>
            <w:shd w:val="clear" w:color="auto" w:fill="E7E6E6" w:themeFill="background2"/>
          </w:tcPr>
          <w:p w14:paraId="5DC9A568" w14:textId="2AF0D8D9" w:rsidR="007E6FD0" w:rsidRPr="00703E5A" w:rsidRDefault="00D84798" w:rsidP="00D84798">
            <w:pPr>
              <w:rPr>
                <w:rFonts w:ascii="Arial" w:hAnsi="Arial" w:cs="Arial"/>
                <w:b/>
              </w:rPr>
            </w:pPr>
            <w:r w:rsidRPr="00703E5A">
              <w:rPr>
                <w:rFonts w:ascii="Arial" w:hAnsi="Arial" w:cs="Arial"/>
                <w:b/>
              </w:rPr>
              <w:t>Directorate:</w:t>
            </w:r>
          </w:p>
          <w:p w14:paraId="6DEEF17F" w14:textId="74BBB5D9" w:rsidR="00D84798" w:rsidRPr="00703E5A" w:rsidRDefault="007E6FD0" w:rsidP="007E6FD0">
            <w:pPr>
              <w:rPr>
                <w:rFonts w:ascii="Arial" w:hAnsi="Arial" w:cs="Arial"/>
                <w:b/>
              </w:rPr>
            </w:pPr>
            <w:r w:rsidRPr="00703E5A">
              <w:rPr>
                <w:rFonts w:ascii="Arial" w:hAnsi="Arial" w:cs="Arial"/>
                <w:b/>
              </w:rPr>
              <w:t>Team: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15D24B82" w14:textId="77777777" w:rsidR="00EE5304" w:rsidRDefault="00A94AAE" w:rsidP="004439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Customer Services </w:t>
            </w:r>
          </w:p>
          <w:p w14:paraId="02B37B6B" w14:textId="0FCF112B" w:rsidR="00D84798" w:rsidRPr="00703E5A" w:rsidRDefault="00A94AAE" w:rsidP="004439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Investment Services</w:t>
            </w:r>
          </w:p>
        </w:tc>
        <w:tc>
          <w:tcPr>
            <w:tcW w:w="1614" w:type="dxa"/>
            <w:shd w:val="clear" w:color="auto" w:fill="E7E6E6" w:themeFill="background2"/>
          </w:tcPr>
          <w:p w14:paraId="3A92691A" w14:textId="77777777" w:rsidR="00D84798" w:rsidRPr="00703E5A" w:rsidRDefault="00D84798" w:rsidP="00D84798">
            <w:pPr>
              <w:rPr>
                <w:rFonts w:ascii="Arial" w:hAnsi="Arial" w:cs="Arial"/>
                <w:b/>
              </w:rPr>
            </w:pPr>
            <w:r w:rsidRPr="00703E5A"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4342" w:type="dxa"/>
            <w:shd w:val="clear" w:color="auto" w:fill="FFFFFF" w:themeFill="background1"/>
          </w:tcPr>
          <w:p w14:paraId="1DD6CAE3" w14:textId="2ABBE6A6" w:rsidR="00ED4717" w:rsidRPr="00703E5A" w:rsidRDefault="00855FC7" w:rsidP="00C760D8">
            <w:pPr>
              <w:rPr>
                <w:rFonts w:ascii="Arial" w:hAnsi="Arial" w:cs="Arial"/>
              </w:rPr>
            </w:pPr>
            <w:r w:rsidRPr="00703E5A">
              <w:rPr>
                <w:rFonts w:ascii="Arial" w:hAnsi="Arial" w:cs="Arial"/>
              </w:rPr>
              <w:t>Any location across the Group</w:t>
            </w:r>
          </w:p>
          <w:p w14:paraId="54323909" w14:textId="77777777" w:rsidR="007011B0" w:rsidRPr="00703E5A" w:rsidRDefault="007011B0" w:rsidP="00C760D8">
            <w:pPr>
              <w:rPr>
                <w:rFonts w:ascii="Arial" w:hAnsi="Arial" w:cs="Arial"/>
              </w:rPr>
            </w:pPr>
          </w:p>
        </w:tc>
      </w:tr>
      <w:tr w:rsidR="00ED4717" w:rsidRPr="00703E5A" w14:paraId="13089597" w14:textId="77777777" w:rsidTr="00655102">
        <w:trPr>
          <w:trHeight w:val="207"/>
        </w:trPr>
        <w:tc>
          <w:tcPr>
            <w:tcW w:w="10918" w:type="dxa"/>
            <w:gridSpan w:val="5"/>
            <w:shd w:val="clear" w:color="auto" w:fill="E7E6E6" w:themeFill="background2"/>
          </w:tcPr>
          <w:p w14:paraId="25C50975" w14:textId="29AD9C75" w:rsidR="00ED4717" w:rsidRPr="00703E5A" w:rsidRDefault="00ED4717" w:rsidP="007E6FD0">
            <w:pPr>
              <w:rPr>
                <w:rFonts w:ascii="Arial" w:hAnsi="Arial" w:cs="Arial"/>
                <w:b/>
              </w:rPr>
            </w:pPr>
            <w:r w:rsidRPr="00703E5A">
              <w:rPr>
                <w:rFonts w:ascii="Arial" w:hAnsi="Arial" w:cs="Arial"/>
                <w:b/>
              </w:rPr>
              <w:t>Purpose of the role:</w:t>
            </w:r>
            <w:r w:rsidR="00C760D8" w:rsidRPr="00703E5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D4717" w:rsidRPr="00703E5A" w14:paraId="26A3E0E2" w14:textId="77777777" w:rsidTr="001F6478">
        <w:tc>
          <w:tcPr>
            <w:tcW w:w="10918" w:type="dxa"/>
            <w:gridSpan w:val="5"/>
          </w:tcPr>
          <w:p w14:paraId="4B5F6B4A" w14:textId="52EDDB78" w:rsidR="00185410" w:rsidRPr="00703E5A" w:rsidRDefault="007E6FD0" w:rsidP="00002B97">
            <w:pPr>
              <w:pStyle w:val="BodyTextIndent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03E5A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1E6909" w:rsidRPr="00703E5A">
              <w:rPr>
                <w:rFonts w:ascii="Arial" w:hAnsi="Arial" w:cs="Arial"/>
                <w:sz w:val="22"/>
                <w:szCs w:val="22"/>
              </w:rPr>
              <w:t xml:space="preserve">evaluate all levels of commercial risk and maximise the benefit to Thirteen, covering procurement, risk mitigation, </w:t>
            </w:r>
            <w:r w:rsidR="00B905A5" w:rsidRPr="00703E5A">
              <w:rPr>
                <w:rFonts w:ascii="Arial" w:hAnsi="Arial" w:cs="Arial"/>
                <w:sz w:val="22"/>
                <w:szCs w:val="22"/>
              </w:rPr>
              <w:t>pricing,</w:t>
            </w:r>
            <w:r w:rsidR="001E6909" w:rsidRPr="00703E5A">
              <w:rPr>
                <w:rFonts w:ascii="Arial" w:hAnsi="Arial" w:cs="Arial"/>
                <w:sz w:val="22"/>
                <w:szCs w:val="22"/>
              </w:rPr>
              <w:t xml:space="preserve"> and contract management. </w:t>
            </w:r>
            <w:r w:rsidR="003601FD" w:rsidRPr="00703E5A">
              <w:rPr>
                <w:rFonts w:ascii="Arial" w:hAnsi="Arial" w:cs="Arial"/>
                <w:sz w:val="22"/>
                <w:szCs w:val="22"/>
              </w:rPr>
              <w:t xml:space="preserve"> Responsible for </w:t>
            </w:r>
            <w:r w:rsidR="001E6909" w:rsidRPr="00703E5A">
              <w:rPr>
                <w:rFonts w:ascii="Arial" w:hAnsi="Arial" w:cs="Arial"/>
                <w:sz w:val="22"/>
                <w:szCs w:val="22"/>
              </w:rPr>
              <w:t>report</w:t>
            </w:r>
            <w:r w:rsidR="003601FD" w:rsidRPr="00703E5A">
              <w:rPr>
                <w:rFonts w:ascii="Arial" w:hAnsi="Arial" w:cs="Arial"/>
                <w:sz w:val="22"/>
                <w:szCs w:val="22"/>
              </w:rPr>
              <w:t>ing</w:t>
            </w:r>
            <w:r w:rsidR="001E6909" w:rsidRPr="00703E5A">
              <w:rPr>
                <w:rFonts w:ascii="Arial" w:hAnsi="Arial" w:cs="Arial"/>
                <w:sz w:val="22"/>
                <w:szCs w:val="22"/>
              </w:rPr>
              <w:t xml:space="preserve"> commercial performance associated with</w:t>
            </w:r>
            <w:r w:rsidR="00646376" w:rsidRPr="00703E5A">
              <w:rPr>
                <w:rFonts w:ascii="Arial" w:hAnsi="Arial" w:cs="Arial"/>
                <w:sz w:val="22"/>
                <w:szCs w:val="22"/>
              </w:rPr>
              <w:t xml:space="preserve"> allocated projects within</w:t>
            </w:r>
            <w:r w:rsidR="001E6909" w:rsidRPr="00703E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5AAA" w:rsidRPr="00703E5A">
              <w:rPr>
                <w:rFonts w:ascii="Arial" w:hAnsi="Arial" w:cs="Arial"/>
                <w:sz w:val="22"/>
                <w:szCs w:val="22"/>
              </w:rPr>
              <w:t>the</w:t>
            </w:r>
            <w:r w:rsidR="001E6909" w:rsidRPr="00703E5A">
              <w:rPr>
                <w:rFonts w:ascii="Arial" w:hAnsi="Arial" w:cs="Arial"/>
                <w:sz w:val="22"/>
                <w:szCs w:val="22"/>
              </w:rPr>
              <w:t xml:space="preserve"> Investment </w:t>
            </w:r>
            <w:r w:rsidR="00195AAA" w:rsidRPr="00703E5A">
              <w:rPr>
                <w:rFonts w:ascii="Arial" w:hAnsi="Arial" w:cs="Arial"/>
                <w:sz w:val="22"/>
                <w:szCs w:val="22"/>
              </w:rPr>
              <w:t>plan</w:t>
            </w:r>
            <w:r w:rsidR="00646376" w:rsidRPr="00703E5A">
              <w:rPr>
                <w:rFonts w:ascii="Arial" w:hAnsi="Arial" w:cs="Arial"/>
                <w:sz w:val="22"/>
                <w:szCs w:val="22"/>
              </w:rPr>
              <w:t>, working closely with the management teams</w:t>
            </w:r>
            <w:r w:rsidR="003601FD" w:rsidRPr="00703E5A">
              <w:rPr>
                <w:rFonts w:ascii="Arial" w:hAnsi="Arial" w:cs="Arial"/>
                <w:sz w:val="22"/>
                <w:szCs w:val="22"/>
              </w:rPr>
              <w:t>.</w:t>
            </w:r>
            <w:r w:rsidR="009668DC" w:rsidRPr="00703E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01FD" w:rsidRPr="00703E5A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1E6909" w:rsidRPr="00703E5A">
              <w:rPr>
                <w:rFonts w:ascii="Arial" w:hAnsi="Arial" w:cs="Arial"/>
                <w:sz w:val="22"/>
                <w:szCs w:val="22"/>
              </w:rPr>
              <w:t>manage</w:t>
            </w:r>
            <w:r w:rsidR="00DA34CF" w:rsidRPr="00703E5A">
              <w:rPr>
                <w:rFonts w:ascii="Arial" w:hAnsi="Arial" w:cs="Arial"/>
                <w:sz w:val="22"/>
                <w:szCs w:val="22"/>
              </w:rPr>
              <w:t>/control</w:t>
            </w:r>
            <w:r w:rsidR="001E6909" w:rsidRPr="00703E5A">
              <w:rPr>
                <w:rFonts w:ascii="Arial" w:hAnsi="Arial" w:cs="Arial"/>
                <w:sz w:val="22"/>
                <w:szCs w:val="22"/>
              </w:rPr>
              <w:t xml:space="preserve"> contractor accounts from start to final account</w:t>
            </w:r>
            <w:r w:rsidR="00002B97" w:rsidRPr="00703E5A">
              <w:rPr>
                <w:rFonts w:ascii="Arial" w:hAnsi="Arial" w:cs="Arial"/>
                <w:sz w:val="22"/>
                <w:szCs w:val="22"/>
              </w:rPr>
              <w:t xml:space="preserve"> and reporting predicted spend against the framework budget.</w:t>
            </w:r>
            <w:r w:rsidR="00A94AAE">
              <w:rPr>
                <w:rFonts w:ascii="Arial" w:hAnsi="Arial" w:cs="Arial"/>
                <w:sz w:val="22"/>
                <w:szCs w:val="22"/>
              </w:rPr>
              <w:t xml:space="preserve"> Provide</w:t>
            </w:r>
            <w:r w:rsidR="000736E6">
              <w:rPr>
                <w:rFonts w:ascii="Arial" w:hAnsi="Arial" w:cs="Arial"/>
                <w:sz w:val="22"/>
                <w:szCs w:val="22"/>
              </w:rPr>
              <w:t>s</w:t>
            </w:r>
            <w:r w:rsidR="00A94AAE">
              <w:rPr>
                <w:rFonts w:ascii="Arial" w:hAnsi="Arial" w:cs="Arial"/>
                <w:sz w:val="22"/>
                <w:szCs w:val="22"/>
              </w:rPr>
              <w:t xml:space="preserve"> support for the </w:t>
            </w:r>
            <w:r w:rsidR="000736E6">
              <w:rPr>
                <w:rFonts w:ascii="Arial" w:hAnsi="Arial" w:cs="Arial"/>
                <w:sz w:val="22"/>
                <w:szCs w:val="22"/>
              </w:rPr>
              <w:t>R</w:t>
            </w:r>
            <w:r w:rsidR="00A94AAE">
              <w:rPr>
                <w:rFonts w:ascii="Arial" w:hAnsi="Arial" w:cs="Arial"/>
                <w:sz w:val="22"/>
                <w:szCs w:val="22"/>
              </w:rPr>
              <w:t>epairs</w:t>
            </w:r>
            <w:r w:rsidR="000736E6">
              <w:rPr>
                <w:rFonts w:ascii="Arial" w:hAnsi="Arial" w:cs="Arial"/>
                <w:sz w:val="22"/>
                <w:szCs w:val="22"/>
              </w:rPr>
              <w:t xml:space="preserve"> and Maintenance </w:t>
            </w:r>
            <w:r w:rsidR="000D4FB8">
              <w:rPr>
                <w:rFonts w:ascii="Arial" w:hAnsi="Arial" w:cs="Arial"/>
                <w:sz w:val="22"/>
                <w:szCs w:val="22"/>
              </w:rPr>
              <w:t xml:space="preserve">service area as well as Investment Services. </w:t>
            </w:r>
          </w:p>
        </w:tc>
      </w:tr>
      <w:tr w:rsidR="00ED4717" w:rsidRPr="00703E5A" w14:paraId="666790CB" w14:textId="77777777" w:rsidTr="00655102">
        <w:trPr>
          <w:trHeight w:val="265"/>
        </w:trPr>
        <w:tc>
          <w:tcPr>
            <w:tcW w:w="10918" w:type="dxa"/>
            <w:gridSpan w:val="5"/>
            <w:shd w:val="clear" w:color="auto" w:fill="E7E6E6" w:themeFill="background2"/>
          </w:tcPr>
          <w:p w14:paraId="59D1F317" w14:textId="7EDD50D8" w:rsidR="00ED4717" w:rsidRPr="00703E5A" w:rsidRDefault="00ED4717" w:rsidP="00655102">
            <w:pPr>
              <w:rPr>
                <w:rFonts w:ascii="Arial" w:hAnsi="Arial"/>
                <w:b/>
                <w:i/>
              </w:rPr>
            </w:pPr>
            <w:r w:rsidRPr="00703E5A">
              <w:rPr>
                <w:rFonts w:ascii="Arial" w:hAnsi="Arial" w:cs="Arial"/>
                <w:b/>
              </w:rPr>
              <w:t>Key accountabilities</w:t>
            </w:r>
            <w:r w:rsidR="00D257CD" w:rsidRPr="00703E5A">
              <w:rPr>
                <w:rFonts w:ascii="Arial" w:hAnsi="Arial" w:cs="Arial"/>
                <w:b/>
              </w:rPr>
              <w:t xml:space="preserve"> </w:t>
            </w:r>
            <w:r w:rsidRPr="00703E5A">
              <w:rPr>
                <w:rFonts w:ascii="Arial" w:hAnsi="Arial" w:cs="Arial"/>
                <w:b/>
              </w:rPr>
              <w:t xml:space="preserve">and </w:t>
            </w:r>
            <w:r w:rsidR="00D257CD" w:rsidRPr="00703E5A">
              <w:rPr>
                <w:rFonts w:ascii="Arial" w:hAnsi="Arial" w:cs="Arial"/>
                <w:b/>
              </w:rPr>
              <w:t>job content</w:t>
            </w:r>
            <w:r w:rsidRPr="00703E5A">
              <w:rPr>
                <w:rFonts w:ascii="Arial" w:hAnsi="Arial" w:cs="Arial"/>
                <w:b/>
              </w:rPr>
              <w:t>:</w:t>
            </w:r>
            <w:r w:rsidR="00C760D8" w:rsidRPr="00703E5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D4717" w:rsidRPr="000D4FB8" w14:paraId="5B6D957C" w14:textId="77777777" w:rsidTr="001F6478">
        <w:tc>
          <w:tcPr>
            <w:tcW w:w="10918" w:type="dxa"/>
            <w:gridSpan w:val="5"/>
          </w:tcPr>
          <w:p w14:paraId="339AACC8" w14:textId="0C8ADF99" w:rsidR="00642502" w:rsidRPr="000D4FB8" w:rsidRDefault="00642502" w:rsidP="00655102">
            <w:pPr>
              <w:pStyle w:val="ListParagraph"/>
              <w:numPr>
                <w:ilvl w:val="0"/>
                <w:numId w:val="11"/>
              </w:numPr>
              <w:ind w:left="324" w:hanging="324"/>
              <w:rPr>
                <w:rFonts w:ascii="Arial" w:hAnsi="Arial" w:cs="Arial"/>
              </w:rPr>
            </w:pPr>
            <w:r w:rsidRPr="000D4FB8">
              <w:rPr>
                <w:rFonts w:ascii="Arial" w:hAnsi="Arial" w:cs="Arial"/>
              </w:rPr>
              <w:t xml:space="preserve">To fulfil the requirements of the Tier </w:t>
            </w:r>
            <w:r w:rsidR="00A94AAE" w:rsidRPr="000D4FB8">
              <w:rPr>
                <w:rFonts w:ascii="Arial" w:hAnsi="Arial" w:cs="Arial"/>
              </w:rPr>
              <w:t>4</w:t>
            </w:r>
            <w:r w:rsidRPr="000D4FB8">
              <w:rPr>
                <w:rFonts w:ascii="Arial" w:hAnsi="Arial" w:cs="Arial"/>
              </w:rPr>
              <w:t xml:space="preserve"> role profile</w:t>
            </w:r>
            <w:r w:rsidR="00CD2DC8" w:rsidRPr="000D4FB8">
              <w:rPr>
                <w:rFonts w:ascii="Arial" w:hAnsi="Arial" w:cs="Arial"/>
              </w:rPr>
              <w:t>.</w:t>
            </w:r>
          </w:p>
          <w:p w14:paraId="70AF5EFB" w14:textId="5D05EBE9" w:rsidR="00284176" w:rsidRPr="000D4FB8" w:rsidRDefault="00284176" w:rsidP="00231339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324" w:hanging="324"/>
              <w:rPr>
                <w:rFonts w:ascii="Arial" w:hAnsi="Arial" w:cs="Arial"/>
              </w:rPr>
            </w:pPr>
            <w:r w:rsidRPr="000D4FB8">
              <w:rPr>
                <w:rFonts w:ascii="Arial" w:hAnsi="Arial" w:cs="Arial"/>
              </w:rPr>
              <w:t xml:space="preserve">Commercially manage schemes within the </w:t>
            </w:r>
            <w:r w:rsidR="00A94AAE" w:rsidRPr="000D4FB8">
              <w:rPr>
                <w:rFonts w:ascii="Arial" w:hAnsi="Arial" w:cs="Arial"/>
              </w:rPr>
              <w:t>I</w:t>
            </w:r>
            <w:r w:rsidRPr="000D4FB8">
              <w:rPr>
                <w:rFonts w:ascii="Arial" w:hAnsi="Arial" w:cs="Arial"/>
              </w:rPr>
              <w:t xml:space="preserve">nvestment programme, providing good accounting and accurate budget predictability. Chair meetings and issue/ manage contractual correspondence. </w:t>
            </w:r>
          </w:p>
          <w:p w14:paraId="12DBB959" w14:textId="77777777" w:rsidR="00284176" w:rsidRPr="000D4FB8" w:rsidRDefault="00284176" w:rsidP="00231339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324" w:hanging="324"/>
              <w:rPr>
                <w:rFonts w:ascii="Arial" w:hAnsi="Arial" w:cs="Arial"/>
              </w:rPr>
            </w:pPr>
            <w:r w:rsidRPr="000D4FB8">
              <w:rPr>
                <w:rFonts w:ascii="Arial" w:hAnsi="Arial" w:cs="Arial"/>
              </w:rPr>
              <w:t>Accountable for financial forecast and cash flow of allocated schemes.</w:t>
            </w:r>
          </w:p>
          <w:p w14:paraId="1262500B" w14:textId="0A6E27CF" w:rsidR="00284176" w:rsidRPr="000D4FB8" w:rsidRDefault="00284176" w:rsidP="00655102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324" w:hanging="324"/>
              <w:rPr>
                <w:rFonts w:ascii="Arial" w:hAnsi="Arial" w:cs="Arial"/>
              </w:rPr>
            </w:pPr>
            <w:r w:rsidRPr="000D4FB8">
              <w:rPr>
                <w:rFonts w:ascii="Arial" w:hAnsi="Arial" w:cs="Arial"/>
              </w:rPr>
              <w:t xml:space="preserve">Negotiate and resolve complex disputed issues to consensus. Agree final accounts including scrutiny of payments, variations and invoices for QSM approval. </w:t>
            </w:r>
          </w:p>
          <w:p w14:paraId="19C6B384" w14:textId="47383CF6" w:rsidR="00B6372F" w:rsidRPr="000D4FB8" w:rsidRDefault="00B6372F" w:rsidP="00B6372F">
            <w:pPr>
              <w:pStyle w:val="ListParagraph"/>
              <w:numPr>
                <w:ilvl w:val="0"/>
                <w:numId w:val="11"/>
              </w:numPr>
              <w:ind w:left="357" w:hanging="357"/>
              <w:rPr>
                <w:rFonts w:ascii="Arial" w:hAnsi="Arial" w:cs="Arial"/>
              </w:rPr>
            </w:pPr>
            <w:r w:rsidRPr="000D4FB8">
              <w:rPr>
                <w:rFonts w:ascii="Arial" w:hAnsi="Arial" w:cs="Arial"/>
              </w:rPr>
              <w:t>Act as a source of professional advice, guidance, consultation and support for Managers e.g. levels of payment to partners, in-house spend profiles and monitoring spend against budget</w:t>
            </w:r>
          </w:p>
          <w:p w14:paraId="480AD341" w14:textId="3DEC7662" w:rsidR="00284176" w:rsidRPr="000D4FB8" w:rsidRDefault="00A94AAE" w:rsidP="00B00005">
            <w:pPr>
              <w:pStyle w:val="ListParagraph"/>
              <w:numPr>
                <w:ilvl w:val="0"/>
                <w:numId w:val="11"/>
              </w:numPr>
              <w:ind w:left="357" w:hanging="357"/>
              <w:rPr>
                <w:rFonts w:ascii="Arial" w:hAnsi="Arial" w:cs="Arial"/>
              </w:rPr>
            </w:pPr>
            <w:r w:rsidRPr="000D4FB8">
              <w:rPr>
                <w:rFonts w:ascii="Arial" w:hAnsi="Arial" w:cs="Arial"/>
              </w:rPr>
              <w:t xml:space="preserve">Support contract procurement, management and performance across Customer Services and support procurement through various frameworks that support our business requirements. </w:t>
            </w:r>
            <w:r w:rsidR="00284176" w:rsidRPr="000D4FB8">
              <w:rPr>
                <w:rFonts w:ascii="Arial" w:hAnsi="Arial" w:cs="Arial"/>
              </w:rPr>
              <w:t>Carry out contractor appointments in accordance with Thirteen Groups procurement processes.</w:t>
            </w:r>
          </w:p>
          <w:p w14:paraId="3F093A49" w14:textId="74933304" w:rsidR="00364EBB" w:rsidRPr="000D4FB8" w:rsidRDefault="00364EBB" w:rsidP="00655102">
            <w:pPr>
              <w:pStyle w:val="ListParagraph"/>
              <w:numPr>
                <w:ilvl w:val="0"/>
                <w:numId w:val="11"/>
              </w:numPr>
              <w:ind w:left="324" w:hanging="324"/>
              <w:rPr>
                <w:rFonts w:ascii="Arial" w:hAnsi="Arial"/>
              </w:rPr>
            </w:pPr>
            <w:r w:rsidRPr="000D4FB8">
              <w:rPr>
                <w:rFonts w:ascii="Arial" w:hAnsi="Arial"/>
              </w:rPr>
              <w:t>Audit expenditure and contractor accounts, including those of supply chains to ensure accuracy of valuations and invoices, ensuring that we receive value for money</w:t>
            </w:r>
            <w:r w:rsidR="00F63AFE" w:rsidRPr="000D4FB8">
              <w:rPr>
                <w:rFonts w:ascii="Arial" w:hAnsi="Arial" w:cs="Arial"/>
              </w:rPr>
              <w:t>.</w:t>
            </w:r>
          </w:p>
          <w:p w14:paraId="1BB33BC8" w14:textId="650C43C5" w:rsidR="00421F70" w:rsidRPr="000D4FB8" w:rsidRDefault="00421F70" w:rsidP="00655102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324" w:hanging="324"/>
              <w:rPr>
                <w:rFonts w:ascii="Arial" w:hAnsi="Arial" w:cs="Arial"/>
              </w:rPr>
            </w:pPr>
            <w:r w:rsidRPr="000D4FB8">
              <w:rPr>
                <w:rFonts w:ascii="Arial" w:hAnsi="Arial" w:cs="Arial"/>
              </w:rPr>
              <w:t>Undertake feasibility studies, investigations, scope and prepare cost plans and estimates.</w:t>
            </w:r>
          </w:p>
          <w:p w14:paraId="0CCE8E47" w14:textId="76C85019" w:rsidR="00771E23" w:rsidRPr="000D4FB8" w:rsidRDefault="00A94AAE" w:rsidP="00655102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324" w:hanging="324"/>
              <w:rPr>
                <w:rFonts w:ascii="Arial" w:hAnsi="Arial" w:cs="Arial"/>
              </w:rPr>
            </w:pPr>
            <w:r w:rsidRPr="000D4FB8">
              <w:rPr>
                <w:rFonts w:ascii="Arial" w:hAnsi="Arial" w:cs="Arial"/>
              </w:rPr>
              <w:t>Produce and maintain accurate and competitive tenders,</w:t>
            </w:r>
            <w:r w:rsidR="00771E23" w:rsidRPr="000D4FB8">
              <w:rPr>
                <w:rFonts w:ascii="Arial" w:hAnsi="Arial" w:cs="Arial"/>
              </w:rPr>
              <w:t xml:space="preserve"> contract specifications, bills of quantities, </w:t>
            </w:r>
            <w:r w:rsidRPr="000D4FB8">
              <w:rPr>
                <w:rFonts w:ascii="Arial" w:hAnsi="Arial" w:cs="Arial"/>
              </w:rPr>
              <w:t>s</w:t>
            </w:r>
            <w:r w:rsidR="00771E23" w:rsidRPr="000D4FB8">
              <w:rPr>
                <w:rFonts w:ascii="Arial" w:hAnsi="Arial" w:cs="Arial"/>
              </w:rPr>
              <w:t>cope of works and resource schedules.</w:t>
            </w:r>
          </w:p>
          <w:p w14:paraId="4A36262C" w14:textId="668AC753" w:rsidR="00364EBB" w:rsidRPr="000D4FB8" w:rsidRDefault="00364EBB" w:rsidP="00655102">
            <w:pPr>
              <w:pStyle w:val="ListParagraph"/>
              <w:numPr>
                <w:ilvl w:val="0"/>
                <w:numId w:val="11"/>
              </w:numPr>
              <w:ind w:left="357" w:hanging="357"/>
              <w:rPr>
                <w:rFonts w:ascii="Arial" w:hAnsi="Arial" w:cs="Arial"/>
              </w:rPr>
            </w:pPr>
            <w:r w:rsidRPr="000D4FB8">
              <w:rPr>
                <w:rFonts w:ascii="Arial" w:hAnsi="Arial" w:cs="Arial"/>
              </w:rPr>
              <w:t>Monitor and review schedules of rates and agreed pricing documents as necessary</w:t>
            </w:r>
            <w:r w:rsidR="00323496" w:rsidRPr="000D4FB8">
              <w:rPr>
                <w:rFonts w:ascii="Arial" w:hAnsi="Arial" w:cs="Arial"/>
              </w:rPr>
              <w:t>.</w:t>
            </w:r>
          </w:p>
          <w:p w14:paraId="674FE053" w14:textId="77777777" w:rsidR="00A94AAE" w:rsidRPr="000D4FB8" w:rsidRDefault="00A94AAE" w:rsidP="00A94AAE">
            <w:pPr>
              <w:pStyle w:val="ListParagraph"/>
              <w:numPr>
                <w:ilvl w:val="0"/>
                <w:numId w:val="11"/>
              </w:numPr>
              <w:ind w:left="357" w:hanging="357"/>
              <w:rPr>
                <w:rFonts w:ascii="Arial" w:hAnsi="Arial" w:cs="Arial"/>
              </w:rPr>
            </w:pPr>
            <w:r w:rsidRPr="000D4FB8">
              <w:rPr>
                <w:rFonts w:ascii="Arial" w:hAnsi="Arial" w:cs="Arial"/>
              </w:rPr>
              <w:t>Produce reports relating to the performance of the internal trade workforce, analyse and report hours expended against target hours.</w:t>
            </w:r>
          </w:p>
          <w:p w14:paraId="1E1BC6AB" w14:textId="5F7BB423" w:rsidR="0099477B" w:rsidRPr="000D4FB8" w:rsidRDefault="00364EBB" w:rsidP="00B00005">
            <w:pPr>
              <w:pStyle w:val="ListParagraph"/>
              <w:numPr>
                <w:ilvl w:val="0"/>
                <w:numId w:val="11"/>
              </w:numPr>
              <w:ind w:left="357" w:hanging="357"/>
              <w:rPr>
                <w:rFonts w:ascii="Arial" w:hAnsi="Arial" w:cs="Arial"/>
              </w:rPr>
            </w:pPr>
            <w:r w:rsidRPr="000D4FB8">
              <w:rPr>
                <w:rFonts w:ascii="Arial" w:hAnsi="Arial" w:cs="Arial"/>
              </w:rPr>
              <w:t>Establish key metrics for the measurement of productivity/efficienc</w:t>
            </w:r>
            <w:r w:rsidR="0099477B" w:rsidRPr="000D4FB8">
              <w:rPr>
                <w:rFonts w:ascii="Arial" w:hAnsi="Arial" w:cs="Arial"/>
              </w:rPr>
              <w:t>ies to the investment plan and report findings according</w:t>
            </w:r>
          </w:p>
          <w:p w14:paraId="41F51DFE" w14:textId="77777777" w:rsidR="00C17127" w:rsidRPr="000D4FB8" w:rsidRDefault="00425EED" w:rsidP="00655102">
            <w:pPr>
              <w:pStyle w:val="ListParagraph"/>
              <w:numPr>
                <w:ilvl w:val="0"/>
                <w:numId w:val="11"/>
              </w:numPr>
              <w:ind w:left="324" w:hanging="324"/>
              <w:rPr>
                <w:rFonts w:ascii="Arial" w:hAnsi="Arial" w:cs="Arial"/>
              </w:rPr>
            </w:pPr>
            <w:r w:rsidRPr="000D4FB8">
              <w:rPr>
                <w:rFonts w:ascii="Arial" w:hAnsi="Arial" w:cs="Arial"/>
              </w:rPr>
              <w:t>Collect KPI contractual results and repair monthly res</w:t>
            </w:r>
            <w:r w:rsidR="0057609F" w:rsidRPr="000D4FB8">
              <w:rPr>
                <w:rFonts w:ascii="Arial" w:hAnsi="Arial" w:cs="Arial"/>
              </w:rPr>
              <w:t>ults at progress meetings.</w:t>
            </w:r>
          </w:p>
          <w:p w14:paraId="5E04062B" w14:textId="0F777137" w:rsidR="00396662" w:rsidRPr="000D4FB8" w:rsidRDefault="00396662" w:rsidP="00922E25">
            <w:pPr>
              <w:pStyle w:val="ListParagraph"/>
              <w:numPr>
                <w:ilvl w:val="0"/>
                <w:numId w:val="11"/>
              </w:numPr>
              <w:ind w:left="357" w:hanging="357"/>
              <w:rPr>
                <w:rFonts w:ascii="Arial" w:hAnsi="Arial" w:cs="Arial"/>
              </w:rPr>
            </w:pPr>
            <w:r w:rsidRPr="000D4FB8">
              <w:rPr>
                <w:rFonts w:ascii="Arial" w:hAnsi="Arial" w:cs="Arial"/>
              </w:rPr>
              <w:t>Assisting with the mentoring and development of Trainee QS.</w:t>
            </w:r>
          </w:p>
        </w:tc>
      </w:tr>
      <w:tr w:rsidR="00ED4717" w:rsidRPr="000D4FB8" w14:paraId="7CD033ED" w14:textId="77777777" w:rsidTr="00655102">
        <w:trPr>
          <w:trHeight w:val="264"/>
        </w:trPr>
        <w:tc>
          <w:tcPr>
            <w:tcW w:w="10918" w:type="dxa"/>
            <w:gridSpan w:val="5"/>
            <w:shd w:val="clear" w:color="auto" w:fill="E7E6E6" w:themeFill="background2"/>
          </w:tcPr>
          <w:p w14:paraId="160C9C2D" w14:textId="77777777" w:rsidR="00ED4717" w:rsidRPr="000D4FB8" w:rsidRDefault="00ED4717" w:rsidP="007011B0">
            <w:pPr>
              <w:rPr>
                <w:rFonts w:ascii="Arial" w:hAnsi="Arial" w:cs="Arial"/>
                <w:b/>
              </w:rPr>
            </w:pPr>
            <w:r w:rsidRPr="000D4FB8">
              <w:rPr>
                <w:rFonts w:ascii="Arial" w:hAnsi="Arial" w:cs="Arial"/>
                <w:b/>
              </w:rPr>
              <w:t>Qualifications:</w:t>
            </w:r>
          </w:p>
        </w:tc>
      </w:tr>
      <w:tr w:rsidR="00ED4717" w:rsidRPr="000D4FB8" w14:paraId="6DD1C45C" w14:textId="77777777" w:rsidTr="001F6478">
        <w:tc>
          <w:tcPr>
            <w:tcW w:w="10918" w:type="dxa"/>
            <w:gridSpan w:val="5"/>
          </w:tcPr>
          <w:p w14:paraId="5A64F32C" w14:textId="290F8AFC" w:rsidR="001F6478" w:rsidRPr="000D4FB8" w:rsidRDefault="0057609F" w:rsidP="00364EBB">
            <w:pPr>
              <w:rPr>
                <w:rFonts w:ascii="Arial" w:hAnsi="Arial" w:cs="Arial"/>
                <w:lang w:val="en-US"/>
              </w:rPr>
            </w:pPr>
            <w:r w:rsidRPr="00FD5DC3">
              <w:rPr>
                <w:rFonts w:ascii="Arial" w:hAnsi="Arial"/>
                <w:highlight w:val="yellow"/>
                <w:lang w:val="en-US"/>
              </w:rPr>
              <w:t>HNC</w:t>
            </w:r>
            <w:r w:rsidR="004049F1" w:rsidRPr="00FD5DC3">
              <w:rPr>
                <w:rFonts w:ascii="Arial" w:hAnsi="Arial"/>
                <w:highlight w:val="yellow"/>
                <w:lang w:val="en-US"/>
              </w:rPr>
              <w:t xml:space="preserve"> </w:t>
            </w:r>
            <w:r w:rsidR="004049F1" w:rsidRPr="00FD5DC3">
              <w:rPr>
                <w:rFonts w:ascii="Arial" w:hAnsi="Arial" w:cs="Arial"/>
                <w:highlight w:val="yellow"/>
                <w:lang w:val="en-US"/>
              </w:rPr>
              <w:t>qualified (</w:t>
            </w:r>
            <w:r w:rsidR="004049F1" w:rsidRPr="00FD5DC3">
              <w:rPr>
                <w:rFonts w:ascii="Arial" w:hAnsi="Arial"/>
                <w:highlight w:val="yellow"/>
                <w:lang w:val="en-US"/>
              </w:rPr>
              <w:t>or equivalent</w:t>
            </w:r>
            <w:r w:rsidR="004049F1" w:rsidRPr="00FD5DC3">
              <w:rPr>
                <w:rFonts w:ascii="Arial" w:hAnsi="Arial" w:cs="Arial"/>
                <w:highlight w:val="yellow"/>
                <w:lang w:val="en-US"/>
              </w:rPr>
              <w:t>/</w:t>
            </w:r>
            <w:r w:rsidR="00965903" w:rsidRPr="00FD5DC3">
              <w:rPr>
                <w:rFonts w:ascii="Arial" w:hAnsi="Arial" w:cs="Arial"/>
                <w:highlight w:val="yellow"/>
                <w:lang w:val="en-US"/>
              </w:rPr>
              <w:t>or degree/Chartered</w:t>
            </w:r>
            <w:r w:rsidR="004049F1" w:rsidRPr="00FD5DC3">
              <w:rPr>
                <w:rFonts w:ascii="Arial" w:hAnsi="Arial" w:cs="Arial"/>
                <w:highlight w:val="yellow"/>
                <w:lang w:val="en-US"/>
              </w:rPr>
              <w:t>)</w:t>
            </w:r>
            <w:r w:rsidR="00965903" w:rsidRPr="00FD5DC3">
              <w:rPr>
                <w:rFonts w:ascii="Arial" w:hAnsi="Arial" w:cs="Arial"/>
                <w:highlight w:val="yellow"/>
                <w:lang w:val="en-US"/>
              </w:rPr>
              <w:t xml:space="preserve"> </w:t>
            </w:r>
            <w:r w:rsidR="001E6909" w:rsidRPr="00FD5DC3">
              <w:rPr>
                <w:rFonts w:ascii="Arial" w:hAnsi="Arial" w:cs="Arial"/>
                <w:highlight w:val="yellow"/>
                <w:lang w:val="en-US"/>
              </w:rPr>
              <w:t xml:space="preserve">with </w:t>
            </w:r>
            <w:r w:rsidR="004937A4" w:rsidRPr="00FD5DC3">
              <w:rPr>
                <w:rFonts w:ascii="Arial" w:hAnsi="Arial" w:cs="Arial"/>
                <w:highlight w:val="yellow"/>
                <w:lang w:val="en-US"/>
              </w:rPr>
              <w:t xml:space="preserve">Quantity </w:t>
            </w:r>
            <w:r w:rsidR="001E6909" w:rsidRPr="00FD5DC3">
              <w:rPr>
                <w:rFonts w:ascii="Arial" w:hAnsi="Arial" w:cs="Arial"/>
                <w:highlight w:val="yellow"/>
                <w:lang w:val="en-US"/>
              </w:rPr>
              <w:t>surveying</w:t>
            </w:r>
            <w:r w:rsidR="001E6909" w:rsidRPr="00FD5DC3">
              <w:rPr>
                <w:rFonts w:ascii="Arial" w:hAnsi="Arial"/>
                <w:highlight w:val="yellow"/>
                <w:lang w:val="en-US"/>
              </w:rPr>
              <w:t xml:space="preserve"> experience</w:t>
            </w:r>
            <w:r w:rsidR="001E6909" w:rsidRPr="00FD5DC3">
              <w:rPr>
                <w:rFonts w:ascii="Arial" w:hAnsi="Arial" w:cs="Arial"/>
                <w:highlight w:val="yellow"/>
                <w:lang w:val="en-US"/>
              </w:rPr>
              <w:t xml:space="preserve"> within housing </w:t>
            </w:r>
            <w:r w:rsidR="004937A4" w:rsidRPr="00FD5DC3">
              <w:rPr>
                <w:rFonts w:ascii="Arial" w:hAnsi="Arial" w:cs="Arial"/>
                <w:highlight w:val="yellow"/>
                <w:lang w:val="en-US"/>
              </w:rPr>
              <w:t xml:space="preserve">sector </w:t>
            </w:r>
            <w:r w:rsidR="001E6909" w:rsidRPr="00FD5DC3">
              <w:rPr>
                <w:rFonts w:ascii="Arial" w:hAnsi="Arial" w:cs="Arial"/>
                <w:highlight w:val="yellow"/>
                <w:lang w:val="en-US"/>
              </w:rPr>
              <w:t>or</w:t>
            </w:r>
            <w:r w:rsidR="00746972" w:rsidRPr="00FD5DC3">
              <w:rPr>
                <w:rFonts w:ascii="Arial" w:hAnsi="Arial" w:cs="Arial"/>
                <w:highlight w:val="yellow"/>
                <w:lang w:val="en-US"/>
              </w:rPr>
              <w:t xml:space="preserve"> c</w:t>
            </w:r>
            <w:r w:rsidR="00DE7816" w:rsidRPr="00FD5DC3">
              <w:rPr>
                <w:rFonts w:ascii="Arial" w:hAnsi="Arial" w:cs="Arial"/>
                <w:highlight w:val="yellow"/>
                <w:lang w:val="en-US"/>
              </w:rPr>
              <w:t>ommercial</w:t>
            </w:r>
            <w:r w:rsidR="001E6909" w:rsidRPr="00FD5DC3">
              <w:rPr>
                <w:rFonts w:ascii="Arial" w:hAnsi="Arial" w:cs="Arial"/>
                <w:highlight w:val="yellow"/>
                <w:lang w:val="en-US"/>
              </w:rPr>
              <w:t xml:space="preserve"> background</w:t>
            </w:r>
            <w:r w:rsidR="001E6909" w:rsidRPr="000D4FB8">
              <w:rPr>
                <w:rFonts w:ascii="Arial" w:hAnsi="Arial" w:cs="Arial"/>
                <w:lang w:val="en-US"/>
              </w:rPr>
              <w:t xml:space="preserve">. </w:t>
            </w:r>
          </w:p>
        </w:tc>
      </w:tr>
      <w:tr w:rsidR="00C760D8" w:rsidRPr="000D4FB8" w14:paraId="097BEEF3" w14:textId="77777777" w:rsidTr="001F6478">
        <w:tc>
          <w:tcPr>
            <w:tcW w:w="10918" w:type="dxa"/>
            <w:gridSpan w:val="5"/>
            <w:shd w:val="clear" w:color="auto" w:fill="E7E6E6" w:themeFill="background2"/>
          </w:tcPr>
          <w:p w14:paraId="3FBB24B4" w14:textId="1FBD73CF" w:rsidR="00C760D8" w:rsidRPr="000D4FB8" w:rsidRDefault="00C760D8" w:rsidP="007E6FD0">
            <w:pPr>
              <w:rPr>
                <w:rFonts w:ascii="Arial" w:hAnsi="Arial" w:cs="Arial"/>
                <w:b/>
                <w:color w:val="000000"/>
              </w:rPr>
            </w:pPr>
            <w:r w:rsidRPr="000D4FB8">
              <w:rPr>
                <w:rFonts w:ascii="Arial" w:hAnsi="Arial" w:cs="Arial"/>
                <w:b/>
                <w:color w:val="000000"/>
              </w:rPr>
              <w:t>Knowledge, skills and experience</w:t>
            </w:r>
            <w:r w:rsidR="000D75BA" w:rsidRPr="000D4FB8">
              <w:rPr>
                <w:rFonts w:ascii="Arial" w:hAnsi="Arial" w:cs="Arial"/>
                <w:b/>
                <w:color w:val="000000"/>
              </w:rPr>
              <w:t xml:space="preserve">: </w:t>
            </w:r>
          </w:p>
        </w:tc>
      </w:tr>
      <w:tr w:rsidR="00F04046" w:rsidRPr="000D4FB8" w14:paraId="3AD37827" w14:textId="77777777" w:rsidTr="001F6478">
        <w:tc>
          <w:tcPr>
            <w:tcW w:w="10918" w:type="dxa"/>
            <w:gridSpan w:val="5"/>
            <w:shd w:val="clear" w:color="auto" w:fill="FFFFFF" w:themeFill="background1"/>
          </w:tcPr>
          <w:p w14:paraId="0C3D6F31" w14:textId="77777777" w:rsidR="00F04046" w:rsidRPr="00455401" w:rsidRDefault="00F04046" w:rsidP="00B6372F">
            <w:pPr>
              <w:numPr>
                <w:ilvl w:val="0"/>
                <w:numId w:val="4"/>
              </w:numPr>
              <w:rPr>
                <w:rFonts w:ascii="Arial" w:hAnsi="Arial" w:cs="Arial"/>
                <w:highlight w:val="yellow"/>
                <w:lang w:val="en-US"/>
              </w:rPr>
            </w:pPr>
            <w:r w:rsidRPr="00455401">
              <w:rPr>
                <w:rFonts w:ascii="Arial" w:hAnsi="Arial" w:cs="Arial"/>
                <w:highlight w:val="yellow"/>
                <w:lang w:val="en-US"/>
              </w:rPr>
              <w:t>JCT framework experience and a solid understanding of Partnering Contracts and management.</w:t>
            </w:r>
          </w:p>
          <w:p w14:paraId="2BDF585C" w14:textId="65E757ED" w:rsidR="00F04046" w:rsidRPr="000D4FB8" w:rsidRDefault="00F04046" w:rsidP="00B6372F">
            <w:pPr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0D4FB8">
              <w:rPr>
                <w:rFonts w:ascii="Arial" w:hAnsi="Arial"/>
                <w:lang w:val="en-US"/>
              </w:rPr>
              <w:t xml:space="preserve">Demonstrable experience of </w:t>
            </w:r>
            <w:r w:rsidRPr="000D4FB8">
              <w:rPr>
                <w:rFonts w:ascii="Arial" w:hAnsi="Arial" w:cs="Arial"/>
                <w:lang w:val="en-US"/>
              </w:rPr>
              <w:t>managing commercially and contractually numerous projects concurrently.</w:t>
            </w:r>
          </w:p>
          <w:p w14:paraId="324D912F" w14:textId="60B0FDE2" w:rsidR="00F04046" w:rsidRPr="000D4FB8" w:rsidRDefault="00F04046" w:rsidP="00B6372F">
            <w:pPr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455401">
              <w:rPr>
                <w:rFonts w:ascii="Arial" w:hAnsi="Arial" w:cs="Arial"/>
                <w:highlight w:val="yellow"/>
                <w:lang w:val="en-US"/>
              </w:rPr>
              <w:t xml:space="preserve">The ability to build strong </w:t>
            </w:r>
            <w:r w:rsidRPr="00B07978">
              <w:rPr>
                <w:rFonts w:ascii="Arial" w:hAnsi="Arial" w:cs="Arial"/>
                <w:highlight w:val="yellow"/>
                <w:lang w:val="en-US"/>
              </w:rPr>
              <w:t>relationships with Partners, managers, customers and colleagues at all levels.</w:t>
            </w:r>
          </w:p>
          <w:p w14:paraId="64C78C67" w14:textId="77777777" w:rsidR="00F04046" w:rsidRPr="000D4FB8" w:rsidRDefault="00F04046" w:rsidP="00B6372F">
            <w:pPr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0D4FB8">
              <w:rPr>
                <w:rFonts w:ascii="Arial" w:hAnsi="Arial" w:cs="Arial"/>
                <w:lang w:val="en-US"/>
              </w:rPr>
              <w:t>Excellent communication skills both verbal and written.</w:t>
            </w:r>
          </w:p>
          <w:p w14:paraId="5662492F" w14:textId="77777777" w:rsidR="00F04046" w:rsidRPr="000D4FB8" w:rsidRDefault="00F04046" w:rsidP="00B6372F">
            <w:pPr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3A6112">
              <w:rPr>
                <w:rFonts w:ascii="Arial" w:hAnsi="Arial" w:cs="Arial"/>
                <w:highlight w:val="yellow"/>
                <w:lang w:val="en-US"/>
              </w:rPr>
              <w:t>Well-developed influencing, persuasive and negotiating skills</w:t>
            </w:r>
            <w:r w:rsidRPr="000D4FB8">
              <w:rPr>
                <w:rFonts w:ascii="Arial" w:hAnsi="Arial" w:cs="Arial"/>
                <w:lang w:val="en-US"/>
              </w:rPr>
              <w:t xml:space="preserve">.  </w:t>
            </w:r>
          </w:p>
          <w:p w14:paraId="139E78AD" w14:textId="460FACD2" w:rsidR="00F04046" w:rsidRPr="000D4FB8" w:rsidRDefault="00F04046" w:rsidP="00B6372F">
            <w:pPr>
              <w:numPr>
                <w:ilvl w:val="0"/>
                <w:numId w:val="4"/>
              </w:numPr>
              <w:rPr>
                <w:rFonts w:ascii="Arial" w:hAnsi="Arial"/>
                <w:lang w:val="en-US"/>
              </w:rPr>
            </w:pPr>
            <w:r w:rsidRPr="000D4FB8">
              <w:rPr>
                <w:rFonts w:ascii="Arial" w:hAnsi="Arial"/>
                <w:lang w:val="en-US"/>
              </w:rPr>
              <w:t xml:space="preserve">Knowledge and awareness of legislation </w:t>
            </w:r>
            <w:r w:rsidRPr="000D4FB8">
              <w:rPr>
                <w:rFonts w:ascii="Arial" w:hAnsi="Arial" w:cs="Arial"/>
                <w:lang w:val="en-US"/>
              </w:rPr>
              <w:t>and contractual obligations.</w:t>
            </w:r>
          </w:p>
          <w:p w14:paraId="252CF410" w14:textId="77777777" w:rsidR="00F04046" w:rsidRPr="000D4FB8" w:rsidRDefault="00F04046" w:rsidP="00B6372F">
            <w:pPr>
              <w:numPr>
                <w:ilvl w:val="0"/>
                <w:numId w:val="4"/>
              </w:numPr>
              <w:rPr>
                <w:rFonts w:ascii="Arial" w:hAnsi="Arial"/>
                <w:lang w:val="en-US"/>
              </w:rPr>
            </w:pPr>
            <w:r w:rsidRPr="000D4FB8">
              <w:rPr>
                <w:rFonts w:ascii="Arial" w:hAnsi="Arial"/>
                <w:lang w:val="en-US"/>
              </w:rPr>
              <w:t>Effective use of IT and media as appropriate</w:t>
            </w:r>
          </w:p>
          <w:p w14:paraId="6F5F29B0" w14:textId="77777777" w:rsidR="00F04046" w:rsidRPr="000D4FB8" w:rsidRDefault="00F04046" w:rsidP="00B6372F">
            <w:pPr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455401">
              <w:rPr>
                <w:rFonts w:ascii="Arial" w:hAnsi="Arial" w:cs="Arial"/>
                <w:highlight w:val="yellow"/>
                <w:lang w:val="en-US"/>
              </w:rPr>
              <w:t>Able to prioritise to achieve realistic targets, costs and time deadlines</w:t>
            </w:r>
            <w:r w:rsidRPr="000D4FB8">
              <w:rPr>
                <w:rFonts w:ascii="Arial" w:hAnsi="Arial" w:cs="Arial"/>
                <w:lang w:val="en-US"/>
              </w:rPr>
              <w:t>.</w:t>
            </w:r>
          </w:p>
          <w:p w14:paraId="7DD3A0F9" w14:textId="25DC5474" w:rsidR="00B6372F" w:rsidRPr="000D4FB8" w:rsidRDefault="00B6372F" w:rsidP="00B6372F">
            <w:pPr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0D4FB8">
              <w:rPr>
                <w:rFonts w:ascii="Arial" w:hAnsi="Arial" w:cs="Arial"/>
                <w:lang w:val="en-US"/>
              </w:rPr>
              <w:t xml:space="preserve">Good understanding of Thirteen’s business activities </w:t>
            </w:r>
            <w:proofErr w:type="gramStart"/>
            <w:r w:rsidRPr="000D4FB8">
              <w:rPr>
                <w:rFonts w:ascii="Arial" w:hAnsi="Arial" w:cs="Arial"/>
                <w:lang w:val="en-US"/>
              </w:rPr>
              <w:t>with regard to</w:t>
            </w:r>
            <w:proofErr w:type="gramEnd"/>
            <w:r w:rsidRPr="000D4FB8">
              <w:rPr>
                <w:rFonts w:ascii="Arial" w:hAnsi="Arial" w:cs="Arial"/>
                <w:lang w:val="en-US"/>
              </w:rPr>
              <w:t xml:space="preserve"> the Financial, People, IT, Governance, Health &amp; Safety, Environmental and Equality &amp; Diversity requirements</w:t>
            </w:r>
          </w:p>
        </w:tc>
      </w:tr>
      <w:tr w:rsidR="000D75BA" w:rsidRPr="000D4FB8" w14:paraId="2BB33512" w14:textId="77777777" w:rsidTr="001F6478">
        <w:trPr>
          <w:trHeight w:val="289"/>
        </w:trPr>
        <w:tc>
          <w:tcPr>
            <w:tcW w:w="10918" w:type="dxa"/>
            <w:gridSpan w:val="5"/>
            <w:shd w:val="clear" w:color="auto" w:fill="E7E6E6" w:themeFill="background2"/>
          </w:tcPr>
          <w:p w14:paraId="0EA00381" w14:textId="315FF3B4" w:rsidR="007011B0" w:rsidRPr="000D4FB8" w:rsidRDefault="000D75BA" w:rsidP="007E6FD0">
            <w:pPr>
              <w:rPr>
                <w:rFonts w:ascii="Arial" w:hAnsi="Arial"/>
                <w:b/>
              </w:rPr>
            </w:pPr>
            <w:r w:rsidRPr="000D4FB8">
              <w:rPr>
                <w:rFonts w:ascii="Arial" w:hAnsi="Arial" w:cs="Arial"/>
                <w:b/>
              </w:rPr>
              <w:t xml:space="preserve">Role requirements and demands: </w:t>
            </w:r>
          </w:p>
        </w:tc>
      </w:tr>
      <w:tr w:rsidR="001F6478" w:rsidRPr="000D4FB8" w14:paraId="4650AB1A" w14:textId="77777777" w:rsidTr="001F6478">
        <w:trPr>
          <w:trHeight w:val="431"/>
        </w:trPr>
        <w:tc>
          <w:tcPr>
            <w:tcW w:w="2552" w:type="dxa"/>
            <w:gridSpan w:val="2"/>
            <w:shd w:val="clear" w:color="auto" w:fill="E7E6E6" w:themeFill="background2"/>
          </w:tcPr>
          <w:p w14:paraId="1507B8C7" w14:textId="77777777" w:rsidR="001F6478" w:rsidRPr="000D4FB8" w:rsidRDefault="00080046" w:rsidP="00080046">
            <w:pPr>
              <w:rPr>
                <w:rFonts w:ascii="Arial" w:hAnsi="Arial" w:cs="Arial"/>
                <w:b/>
              </w:rPr>
            </w:pPr>
            <w:r w:rsidRPr="000D4FB8">
              <w:rPr>
                <w:rFonts w:ascii="Arial" w:hAnsi="Arial" w:cs="Arial"/>
                <w:b/>
              </w:rPr>
              <w:t>Solving p</w:t>
            </w:r>
            <w:r w:rsidR="001F6478" w:rsidRPr="000D4FB8">
              <w:rPr>
                <w:rFonts w:ascii="Arial" w:hAnsi="Arial" w:cs="Arial"/>
                <w:b/>
              </w:rPr>
              <w:t>roblem</w:t>
            </w:r>
            <w:r w:rsidRPr="000D4FB8">
              <w:rPr>
                <w:rFonts w:ascii="Arial" w:hAnsi="Arial" w:cs="Arial"/>
                <w:b/>
              </w:rPr>
              <w:t>s</w:t>
            </w:r>
            <w:r w:rsidR="001F6478" w:rsidRPr="000D4FB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366" w:type="dxa"/>
            <w:gridSpan w:val="3"/>
          </w:tcPr>
          <w:p w14:paraId="64485779" w14:textId="4F55C42C" w:rsidR="00080046" w:rsidRPr="000D4FB8" w:rsidRDefault="00B6372F" w:rsidP="00556BF0">
            <w:pPr>
              <w:rPr>
                <w:rFonts w:ascii="Arial" w:hAnsi="Arial" w:cs="Arial"/>
              </w:rPr>
            </w:pPr>
            <w:r w:rsidRPr="000D4FB8">
              <w:rPr>
                <w:rFonts w:ascii="Arial" w:hAnsi="Arial" w:cs="Arial"/>
              </w:rPr>
              <w:t>Problem solving that is of a specialist / technical nature and requires some research and the analysis of information or solutions.</w:t>
            </w:r>
          </w:p>
        </w:tc>
      </w:tr>
      <w:tr w:rsidR="00B6372F" w:rsidRPr="000D4FB8" w14:paraId="588F7C3E" w14:textId="77777777" w:rsidTr="001F6478">
        <w:trPr>
          <w:trHeight w:val="409"/>
        </w:trPr>
        <w:tc>
          <w:tcPr>
            <w:tcW w:w="2552" w:type="dxa"/>
            <w:gridSpan w:val="2"/>
            <w:shd w:val="clear" w:color="auto" w:fill="E7E6E6" w:themeFill="background2"/>
          </w:tcPr>
          <w:p w14:paraId="1FC0DEBC" w14:textId="77777777" w:rsidR="00B6372F" w:rsidRPr="000D4FB8" w:rsidRDefault="00B6372F" w:rsidP="00B6372F">
            <w:pPr>
              <w:rPr>
                <w:rFonts w:ascii="Arial" w:hAnsi="Arial" w:cs="Arial"/>
                <w:b/>
              </w:rPr>
            </w:pPr>
            <w:r w:rsidRPr="000D4FB8">
              <w:rPr>
                <w:rFonts w:ascii="Arial" w:hAnsi="Arial" w:cs="Arial"/>
                <w:b/>
              </w:rPr>
              <w:t>Making decisions:</w:t>
            </w:r>
          </w:p>
          <w:p w14:paraId="452DA76A" w14:textId="77777777" w:rsidR="00B6372F" w:rsidRPr="000D4FB8" w:rsidRDefault="00B6372F" w:rsidP="00B6372F">
            <w:pPr>
              <w:rPr>
                <w:rFonts w:ascii="Arial" w:hAnsi="Arial" w:cs="Arial"/>
                <w:b/>
              </w:rPr>
            </w:pPr>
          </w:p>
        </w:tc>
        <w:tc>
          <w:tcPr>
            <w:tcW w:w="8366" w:type="dxa"/>
            <w:gridSpan w:val="3"/>
          </w:tcPr>
          <w:p w14:paraId="037C748A" w14:textId="2F773A03" w:rsidR="00B6372F" w:rsidRPr="000D4FB8" w:rsidRDefault="00B6372F" w:rsidP="00B6372F">
            <w:pPr>
              <w:rPr>
                <w:rFonts w:ascii="Arial" w:hAnsi="Arial" w:cs="Arial"/>
              </w:rPr>
            </w:pPr>
            <w:r w:rsidRPr="000D4FB8">
              <w:rPr>
                <w:rFonts w:ascii="Arial" w:hAnsi="Arial" w:cs="Arial"/>
              </w:rPr>
              <w:t>Operational decision making relating to organisational objectives and outcomes that have been defined by others.</w:t>
            </w:r>
          </w:p>
        </w:tc>
      </w:tr>
      <w:tr w:rsidR="001F6478" w:rsidRPr="000D4FB8" w14:paraId="1138FDF0" w14:textId="77777777" w:rsidTr="001F6478">
        <w:trPr>
          <w:trHeight w:val="431"/>
        </w:trPr>
        <w:tc>
          <w:tcPr>
            <w:tcW w:w="2552" w:type="dxa"/>
            <w:gridSpan w:val="2"/>
            <w:shd w:val="clear" w:color="auto" w:fill="E7E6E6" w:themeFill="background2"/>
          </w:tcPr>
          <w:p w14:paraId="139E3383" w14:textId="77777777" w:rsidR="001F6478" w:rsidRPr="000D4FB8" w:rsidRDefault="001F6478" w:rsidP="00631A57">
            <w:pPr>
              <w:rPr>
                <w:rFonts w:ascii="Arial" w:hAnsi="Arial" w:cs="Arial"/>
                <w:b/>
              </w:rPr>
            </w:pPr>
            <w:r w:rsidRPr="000D4FB8">
              <w:rPr>
                <w:rFonts w:ascii="Arial" w:hAnsi="Arial" w:cs="Arial"/>
                <w:b/>
              </w:rPr>
              <w:t>Communicating:</w:t>
            </w:r>
          </w:p>
          <w:p w14:paraId="372AEC07" w14:textId="77777777" w:rsidR="001F6478" w:rsidRPr="000D4FB8" w:rsidRDefault="001F6478" w:rsidP="001F6478">
            <w:pPr>
              <w:rPr>
                <w:rFonts w:ascii="Arial" w:hAnsi="Arial" w:cs="Arial"/>
                <w:b/>
              </w:rPr>
            </w:pPr>
          </w:p>
        </w:tc>
        <w:tc>
          <w:tcPr>
            <w:tcW w:w="8366" w:type="dxa"/>
            <w:gridSpan w:val="3"/>
          </w:tcPr>
          <w:p w14:paraId="04AD8E4E" w14:textId="43BEE92C" w:rsidR="0003289A" w:rsidRPr="000D4FB8" w:rsidRDefault="0003289A" w:rsidP="005E56F8">
            <w:pPr>
              <w:rPr>
                <w:rFonts w:ascii="Arial" w:hAnsi="Arial" w:cs="Arial"/>
                <w:lang w:val="en-US"/>
              </w:rPr>
            </w:pPr>
            <w:r w:rsidRPr="000D4FB8">
              <w:rPr>
                <w:rFonts w:ascii="Arial" w:hAnsi="Arial" w:cs="Arial"/>
              </w:rPr>
              <w:t>Provides information on complicated matters. Uses tailored communication skills in relation to specialist/technical issues where required.</w:t>
            </w:r>
          </w:p>
        </w:tc>
      </w:tr>
      <w:tr w:rsidR="001F6478" w:rsidRPr="000D4FB8" w14:paraId="0B49D7D1" w14:textId="77777777" w:rsidTr="001F6478">
        <w:trPr>
          <w:trHeight w:val="570"/>
        </w:trPr>
        <w:tc>
          <w:tcPr>
            <w:tcW w:w="2552" w:type="dxa"/>
            <w:gridSpan w:val="2"/>
            <w:shd w:val="clear" w:color="auto" w:fill="E7E6E6" w:themeFill="background2"/>
          </w:tcPr>
          <w:p w14:paraId="52728B1F" w14:textId="77777777" w:rsidR="001F6478" w:rsidRPr="000D4FB8" w:rsidRDefault="001F6478" w:rsidP="00631A57">
            <w:pPr>
              <w:rPr>
                <w:rFonts w:ascii="Arial" w:hAnsi="Arial" w:cs="Arial"/>
                <w:b/>
              </w:rPr>
            </w:pPr>
            <w:r w:rsidRPr="000D4FB8">
              <w:rPr>
                <w:rFonts w:ascii="Arial" w:hAnsi="Arial" w:cs="Arial"/>
                <w:b/>
              </w:rPr>
              <w:t>Financial responsibility:</w:t>
            </w:r>
          </w:p>
        </w:tc>
        <w:tc>
          <w:tcPr>
            <w:tcW w:w="8366" w:type="dxa"/>
            <w:gridSpan w:val="3"/>
          </w:tcPr>
          <w:p w14:paraId="0F50012D" w14:textId="773419ED" w:rsidR="001F6478" w:rsidRPr="000D4FB8" w:rsidRDefault="007E6FD0" w:rsidP="00021824">
            <w:pPr>
              <w:rPr>
                <w:rFonts w:ascii="Arial" w:hAnsi="Arial" w:cs="Arial"/>
              </w:rPr>
            </w:pPr>
            <w:r w:rsidRPr="000D4FB8">
              <w:rPr>
                <w:rFonts w:ascii="Arial" w:hAnsi="Arial" w:cs="Arial"/>
              </w:rPr>
              <w:t>None</w:t>
            </w:r>
          </w:p>
        </w:tc>
      </w:tr>
      <w:tr w:rsidR="004418F4" w:rsidRPr="009D3D8D" w14:paraId="1FE1B60E" w14:textId="77777777" w:rsidTr="001F6478">
        <w:trPr>
          <w:trHeight w:val="570"/>
        </w:trPr>
        <w:tc>
          <w:tcPr>
            <w:tcW w:w="2552" w:type="dxa"/>
            <w:gridSpan w:val="2"/>
            <w:shd w:val="clear" w:color="auto" w:fill="E7E6E6" w:themeFill="background2"/>
          </w:tcPr>
          <w:p w14:paraId="2AE936CF" w14:textId="77777777" w:rsidR="004418F4" w:rsidRPr="000D4FB8" w:rsidRDefault="004418F4" w:rsidP="004418F4">
            <w:pPr>
              <w:rPr>
                <w:rFonts w:ascii="Arial" w:hAnsi="Arial" w:cs="Arial"/>
                <w:b/>
              </w:rPr>
            </w:pPr>
            <w:r w:rsidRPr="000D4FB8">
              <w:rPr>
                <w:rFonts w:ascii="Arial" w:hAnsi="Arial" w:cs="Arial"/>
                <w:b/>
              </w:rPr>
              <w:lastRenderedPageBreak/>
              <w:t>People management responsibility:</w:t>
            </w:r>
          </w:p>
        </w:tc>
        <w:tc>
          <w:tcPr>
            <w:tcW w:w="8366" w:type="dxa"/>
            <w:gridSpan w:val="3"/>
          </w:tcPr>
          <w:p w14:paraId="4FE85A6C" w14:textId="626CE0FA" w:rsidR="004418F4" w:rsidRPr="000D4FB8" w:rsidRDefault="00B6372F" w:rsidP="005E56F8">
            <w:pPr>
              <w:rPr>
                <w:rFonts w:ascii="Arial" w:hAnsi="Arial" w:cs="Arial"/>
              </w:rPr>
            </w:pPr>
            <w:r w:rsidRPr="000D4FB8">
              <w:rPr>
                <w:rFonts w:ascii="Arial" w:hAnsi="Arial" w:cs="Arial"/>
              </w:rPr>
              <w:t>No</w:t>
            </w:r>
          </w:p>
        </w:tc>
      </w:tr>
    </w:tbl>
    <w:p w14:paraId="3112023E" w14:textId="4E346FB3" w:rsidR="00E65A28" w:rsidRPr="00284176" w:rsidRDefault="00E65A2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96574" w14:paraId="5D6DAAD5" w14:textId="77777777" w:rsidTr="00D9657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DFC26EA" w14:textId="4DDF1E88" w:rsidR="00D96574" w:rsidRPr="00D96574" w:rsidRDefault="00D96574" w:rsidP="00D96574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For Reward Team use only</w:t>
            </w:r>
          </w:p>
        </w:tc>
      </w:tr>
      <w:tr w:rsidR="00D96574" w14:paraId="7FD7C9EB" w14:textId="77777777" w:rsidTr="00D96574">
        <w:tc>
          <w:tcPr>
            <w:tcW w:w="4508" w:type="dxa"/>
          </w:tcPr>
          <w:p w14:paraId="533FA6B0" w14:textId="6FCF9709" w:rsidR="00D96574" w:rsidRDefault="00D96574" w:rsidP="00D965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Version 1</w:t>
            </w:r>
          </w:p>
        </w:tc>
        <w:tc>
          <w:tcPr>
            <w:tcW w:w="4508" w:type="dxa"/>
          </w:tcPr>
          <w:p w14:paraId="4BEA8AB3" w14:textId="2758000F" w:rsidR="00D96574" w:rsidRDefault="00D96574" w:rsidP="00D965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Dec 24</w:t>
            </w:r>
          </w:p>
        </w:tc>
      </w:tr>
    </w:tbl>
    <w:p w14:paraId="4CADF693" w14:textId="77777777" w:rsidR="00D83F8B" w:rsidRPr="00655102" w:rsidRDefault="00D83F8B">
      <w:pPr>
        <w:rPr>
          <w:rFonts w:ascii="Arial" w:hAnsi="Arial"/>
        </w:rPr>
      </w:pPr>
    </w:p>
    <w:sectPr w:rsidR="00D83F8B" w:rsidRPr="00655102" w:rsidSect="007011B0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6E95"/>
    <w:multiLevelType w:val="hybridMultilevel"/>
    <w:tmpl w:val="28E411CE"/>
    <w:lvl w:ilvl="0" w:tplc="B0649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745E6"/>
    <w:multiLevelType w:val="hybridMultilevel"/>
    <w:tmpl w:val="89BA2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E514B"/>
    <w:multiLevelType w:val="hybridMultilevel"/>
    <w:tmpl w:val="CB089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E26F39"/>
    <w:multiLevelType w:val="hybridMultilevel"/>
    <w:tmpl w:val="5E7A0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B4A66"/>
    <w:multiLevelType w:val="hybridMultilevel"/>
    <w:tmpl w:val="8ED28A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B861EA"/>
    <w:multiLevelType w:val="hybridMultilevel"/>
    <w:tmpl w:val="35883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D098E"/>
    <w:multiLevelType w:val="hybridMultilevel"/>
    <w:tmpl w:val="85A6B3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896E1F"/>
    <w:multiLevelType w:val="hybridMultilevel"/>
    <w:tmpl w:val="D9D41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323F5"/>
    <w:multiLevelType w:val="hybridMultilevel"/>
    <w:tmpl w:val="4CDE4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A0F9E"/>
    <w:multiLevelType w:val="hybridMultilevel"/>
    <w:tmpl w:val="5EC4E5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E57D0C"/>
    <w:multiLevelType w:val="hybridMultilevel"/>
    <w:tmpl w:val="EBBE5C18"/>
    <w:lvl w:ilvl="0" w:tplc="B06498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7622BB"/>
    <w:multiLevelType w:val="hybridMultilevel"/>
    <w:tmpl w:val="269C7B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3017201">
    <w:abstractNumId w:val="6"/>
  </w:num>
  <w:num w:numId="2" w16cid:durableId="1461536244">
    <w:abstractNumId w:val="4"/>
  </w:num>
  <w:num w:numId="3" w16cid:durableId="1695958572">
    <w:abstractNumId w:val="10"/>
  </w:num>
  <w:num w:numId="4" w16cid:durableId="1658067438">
    <w:abstractNumId w:val="10"/>
  </w:num>
  <w:num w:numId="5" w16cid:durableId="704645901">
    <w:abstractNumId w:val="4"/>
  </w:num>
  <w:num w:numId="6" w16cid:durableId="491290208">
    <w:abstractNumId w:val="1"/>
  </w:num>
  <w:num w:numId="7" w16cid:durableId="892083584">
    <w:abstractNumId w:val="0"/>
  </w:num>
  <w:num w:numId="8" w16cid:durableId="981496405">
    <w:abstractNumId w:val="3"/>
  </w:num>
  <w:num w:numId="9" w16cid:durableId="1989363647">
    <w:abstractNumId w:val="2"/>
  </w:num>
  <w:num w:numId="10" w16cid:durableId="402338344">
    <w:abstractNumId w:val="9"/>
  </w:num>
  <w:num w:numId="11" w16cid:durableId="1076393088">
    <w:abstractNumId w:val="5"/>
  </w:num>
  <w:num w:numId="12" w16cid:durableId="1317680884">
    <w:abstractNumId w:val="8"/>
  </w:num>
  <w:num w:numId="13" w16cid:durableId="88551513">
    <w:abstractNumId w:val="11"/>
  </w:num>
  <w:num w:numId="14" w16cid:durableId="15967484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37D"/>
    <w:rsid w:val="0000069B"/>
    <w:rsid w:val="00002B97"/>
    <w:rsid w:val="0000589A"/>
    <w:rsid w:val="00021824"/>
    <w:rsid w:val="00030693"/>
    <w:rsid w:val="0003289A"/>
    <w:rsid w:val="000659B2"/>
    <w:rsid w:val="000736E6"/>
    <w:rsid w:val="0007724C"/>
    <w:rsid w:val="00080046"/>
    <w:rsid w:val="0008741B"/>
    <w:rsid w:val="0009150F"/>
    <w:rsid w:val="000A243A"/>
    <w:rsid w:val="000B48AF"/>
    <w:rsid w:val="000C167F"/>
    <w:rsid w:val="000D4FB8"/>
    <w:rsid w:val="000D75BA"/>
    <w:rsid w:val="000F1DA1"/>
    <w:rsid w:val="000F2ABF"/>
    <w:rsid w:val="000F2E99"/>
    <w:rsid w:val="00132C6B"/>
    <w:rsid w:val="001355B8"/>
    <w:rsid w:val="00152ABE"/>
    <w:rsid w:val="0017255B"/>
    <w:rsid w:val="00185410"/>
    <w:rsid w:val="00195AAA"/>
    <w:rsid w:val="001A3A72"/>
    <w:rsid w:val="001E3E98"/>
    <w:rsid w:val="001E6909"/>
    <w:rsid w:val="001F627D"/>
    <w:rsid w:val="001F6478"/>
    <w:rsid w:val="0022156F"/>
    <w:rsid w:val="00221DF2"/>
    <w:rsid w:val="00231339"/>
    <w:rsid w:val="00265F32"/>
    <w:rsid w:val="002674D3"/>
    <w:rsid w:val="00284176"/>
    <w:rsid w:val="002A3DDD"/>
    <w:rsid w:val="002B17D5"/>
    <w:rsid w:val="002B2ECE"/>
    <w:rsid w:val="002E1693"/>
    <w:rsid w:val="003054F1"/>
    <w:rsid w:val="00305EC0"/>
    <w:rsid w:val="00322ACE"/>
    <w:rsid w:val="00323496"/>
    <w:rsid w:val="00330641"/>
    <w:rsid w:val="0034397E"/>
    <w:rsid w:val="003601FD"/>
    <w:rsid w:val="00364EBB"/>
    <w:rsid w:val="0037053C"/>
    <w:rsid w:val="003740CB"/>
    <w:rsid w:val="00382E55"/>
    <w:rsid w:val="00396662"/>
    <w:rsid w:val="003A6112"/>
    <w:rsid w:val="003A6CC6"/>
    <w:rsid w:val="003B7481"/>
    <w:rsid w:val="003E4C69"/>
    <w:rsid w:val="003F6859"/>
    <w:rsid w:val="004049F1"/>
    <w:rsid w:val="00411545"/>
    <w:rsid w:val="004162BA"/>
    <w:rsid w:val="00421F70"/>
    <w:rsid w:val="00425EED"/>
    <w:rsid w:val="004321C0"/>
    <w:rsid w:val="004418F4"/>
    <w:rsid w:val="0044325E"/>
    <w:rsid w:val="0044391E"/>
    <w:rsid w:val="00455401"/>
    <w:rsid w:val="00467F7C"/>
    <w:rsid w:val="00474D07"/>
    <w:rsid w:val="004937A4"/>
    <w:rsid w:val="00495404"/>
    <w:rsid w:val="004D69F7"/>
    <w:rsid w:val="00501B0B"/>
    <w:rsid w:val="00516E6B"/>
    <w:rsid w:val="0052156E"/>
    <w:rsid w:val="00522F94"/>
    <w:rsid w:val="005429C3"/>
    <w:rsid w:val="00556BF0"/>
    <w:rsid w:val="0057609F"/>
    <w:rsid w:val="00587EC0"/>
    <w:rsid w:val="00596F22"/>
    <w:rsid w:val="005A346A"/>
    <w:rsid w:val="005D04EA"/>
    <w:rsid w:val="005E3D02"/>
    <w:rsid w:val="005E56F8"/>
    <w:rsid w:val="006077A2"/>
    <w:rsid w:val="006300AC"/>
    <w:rsid w:val="00631A57"/>
    <w:rsid w:val="00642502"/>
    <w:rsid w:val="00646376"/>
    <w:rsid w:val="00655102"/>
    <w:rsid w:val="006834E7"/>
    <w:rsid w:val="00694843"/>
    <w:rsid w:val="006A3DD6"/>
    <w:rsid w:val="006D0CD4"/>
    <w:rsid w:val="006D716E"/>
    <w:rsid w:val="006E3521"/>
    <w:rsid w:val="00700E30"/>
    <w:rsid w:val="007011B0"/>
    <w:rsid w:val="00703E5A"/>
    <w:rsid w:val="007220F9"/>
    <w:rsid w:val="00735799"/>
    <w:rsid w:val="0074066C"/>
    <w:rsid w:val="00746972"/>
    <w:rsid w:val="00763D61"/>
    <w:rsid w:val="00771E23"/>
    <w:rsid w:val="007774D2"/>
    <w:rsid w:val="00791F17"/>
    <w:rsid w:val="00796C45"/>
    <w:rsid w:val="007A5C13"/>
    <w:rsid w:val="007E6FD0"/>
    <w:rsid w:val="007F794F"/>
    <w:rsid w:val="0082317F"/>
    <w:rsid w:val="00844C51"/>
    <w:rsid w:val="0085146F"/>
    <w:rsid w:val="00855FC7"/>
    <w:rsid w:val="00866151"/>
    <w:rsid w:val="008A4B0D"/>
    <w:rsid w:val="008C1B11"/>
    <w:rsid w:val="008D77C4"/>
    <w:rsid w:val="008E5A76"/>
    <w:rsid w:val="00922E25"/>
    <w:rsid w:val="009322BD"/>
    <w:rsid w:val="0094090E"/>
    <w:rsid w:val="00965903"/>
    <w:rsid w:val="009668DC"/>
    <w:rsid w:val="00976948"/>
    <w:rsid w:val="0099477B"/>
    <w:rsid w:val="009A64D7"/>
    <w:rsid w:val="009B4E38"/>
    <w:rsid w:val="009D3D8D"/>
    <w:rsid w:val="00A12A04"/>
    <w:rsid w:val="00A17932"/>
    <w:rsid w:val="00A46467"/>
    <w:rsid w:val="00A51A1E"/>
    <w:rsid w:val="00A55DAE"/>
    <w:rsid w:val="00A764DF"/>
    <w:rsid w:val="00A84A71"/>
    <w:rsid w:val="00A94AAE"/>
    <w:rsid w:val="00AF32F1"/>
    <w:rsid w:val="00B00005"/>
    <w:rsid w:val="00B07978"/>
    <w:rsid w:val="00B54A86"/>
    <w:rsid w:val="00B6103B"/>
    <w:rsid w:val="00B6372F"/>
    <w:rsid w:val="00B63888"/>
    <w:rsid w:val="00B77059"/>
    <w:rsid w:val="00B905A5"/>
    <w:rsid w:val="00B9436C"/>
    <w:rsid w:val="00BC578E"/>
    <w:rsid w:val="00BC5C6C"/>
    <w:rsid w:val="00BC6420"/>
    <w:rsid w:val="00BD338D"/>
    <w:rsid w:val="00C11A96"/>
    <w:rsid w:val="00C17127"/>
    <w:rsid w:val="00C24ADF"/>
    <w:rsid w:val="00C36BC8"/>
    <w:rsid w:val="00C43C5A"/>
    <w:rsid w:val="00C4413F"/>
    <w:rsid w:val="00C5068F"/>
    <w:rsid w:val="00C52486"/>
    <w:rsid w:val="00C760D8"/>
    <w:rsid w:val="00C90817"/>
    <w:rsid w:val="00C918E3"/>
    <w:rsid w:val="00CD2DC8"/>
    <w:rsid w:val="00CE7F03"/>
    <w:rsid w:val="00CF24AB"/>
    <w:rsid w:val="00D01AF9"/>
    <w:rsid w:val="00D01FB7"/>
    <w:rsid w:val="00D173FC"/>
    <w:rsid w:val="00D257CD"/>
    <w:rsid w:val="00D76BDD"/>
    <w:rsid w:val="00D83F8B"/>
    <w:rsid w:val="00D84798"/>
    <w:rsid w:val="00D96574"/>
    <w:rsid w:val="00DA34CF"/>
    <w:rsid w:val="00DB4676"/>
    <w:rsid w:val="00DB568D"/>
    <w:rsid w:val="00DD237D"/>
    <w:rsid w:val="00DE7816"/>
    <w:rsid w:val="00DF19D7"/>
    <w:rsid w:val="00E02F20"/>
    <w:rsid w:val="00E2750C"/>
    <w:rsid w:val="00E53547"/>
    <w:rsid w:val="00E65A28"/>
    <w:rsid w:val="00E71260"/>
    <w:rsid w:val="00E71D01"/>
    <w:rsid w:val="00E74138"/>
    <w:rsid w:val="00E75C53"/>
    <w:rsid w:val="00E843A3"/>
    <w:rsid w:val="00E908B2"/>
    <w:rsid w:val="00EB73D6"/>
    <w:rsid w:val="00EB7DDF"/>
    <w:rsid w:val="00EC2100"/>
    <w:rsid w:val="00ED4717"/>
    <w:rsid w:val="00EE5304"/>
    <w:rsid w:val="00EF15B8"/>
    <w:rsid w:val="00F04046"/>
    <w:rsid w:val="00F04CA0"/>
    <w:rsid w:val="00F10EC0"/>
    <w:rsid w:val="00F278DD"/>
    <w:rsid w:val="00F401F5"/>
    <w:rsid w:val="00F63AFE"/>
    <w:rsid w:val="00F77122"/>
    <w:rsid w:val="00F824D0"/>
    <w:rsid w:val="00F8433A"/>
    <w:rsid w:val="00F930E4"/>
    <w:rsid w:val="00FB462D"/>
    <w:rsid w:val="00FD5DC3"/>
    <w:rsid w:val="00FD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09B12"/>
  <w15:chartTrackingRefBased/>
  <w15:docId w15:val="{BCFBB768-F292-4926-B834-527811ED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3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D23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D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1D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5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4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4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04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74066C"/>
    <w:pPr>
      <w:spacing w:after="0" w:line="240" w:lineRule="auto"/>
      <w:ind w:left="2880" w:hanging="288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4066C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E02F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7" Type="http://schemas.openxmlformats.org/officeDocument/2006/relationships/settings" Target="settings.xml" /><Relationship Id="rId6" Type="http://schemas.openxmlformats.org/officeDocument/2006/relationships/styles" Target="styles.xml" /><Relationship Id="rId5" Type="http://schemas.openxmlformats.org/officeDocument/2006/relationships/numbering" Target="numbering.xml" /><Relationship Id="rId10" Type="http://schemas.openxmlformats.org/officeDocument/2006/relationships/theme" Target="theme/theme1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Thirteen Group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Joynes</dc:creator>
  <cp:keywords/>
  <dc:description/>
  <cp:lastModifiedBy>Zoe Stevenson</cp:lastModifiedBy>
  <cp:revision>13</cp:revision>
  <cp:lastPrinted>2017-10-03T14:53:00Z</cp:lastPrinted>
  <dcterms:created xsi:type="dcterms:W3CDTF">2024-12-02T14:04:00Z</dcterms:created>
  <dcterms:modified xsi:type="dcterms:W3CDTF">2025-03-28T09:13:00Z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0x01010078E6628075B92A4C822E354F01FBD9E0</vt:lpwstr>
  </property>
  <property fmtid="{D5CDD505-2E9C-101B-9397-08002B2CF9AE}" pid="3" name="MediaServiceImageTags">
    <vt:lpwstr/>
  </property>
</Properties>
</file>