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39AA" w14:textId="77777777" w:rsidR="00FA5989" w:rsidRPr="009D60B2" w:rsidRDefault="009D60B2">
      <w:pPr>
        <w:spacing w:line="240" w:lineRule="auto"/>
        <w:jc w:val="center"/>
        <w:rPr>
          <w:rFonts w:ascii="Atkinson Hyperlegible" w:hAnsi="Atkinson Hyperlegible"/>
        </w:rPr>
      </w:pPr>
      <w:r w:rsidRPr="009D60B2">
        <w:rPr>
          <w:rFonts w:ascii="Atkinson Hyperlegible" w:hAnsi="Atkinson Hyperlegible"/>
          <w:b/>
          <w:sz w:val="25"/>
        </w:rPr>
        <w:t>Environmental Sustainability Manager</w:t>
      </w:r>
      <w:r w:rsidRPr="009D60B2">
        <w:rPr>
          <w:rFonts w:ascii="Atkinson Hyperlegible" w:hAnsi="Atkinson Hyperlegible"/>
          <w:b/>
          <w:sz w:val="25"/>
        </w:rPr>
        <w:br/>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5739"/>
        <w:gridCol w:w="1641"/>
      </w:tblGrid>
      <w:tr w:rsidR="00FA5989" w:rsidRPr="009D60B2" w14:paraId="2F002CAF"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5DCC2B9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rPr>
              <w:t>Your line manager</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CB10B01"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Head of Environmental Sustainability</w:t>
            </w:r>
          </w:p>
        </w:tc>
      </w:tr>
      <w:tr w:rsidR="00FA5989" w:rsidRPr="009D60B2" w14:paraId="36E8D67A"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3F0F0"/>
          </w:tcPr>
          <w:p w14:paraId="34BF113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rPr>
              <w:t>Your directorate</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3F0F0"/>
          </w:tcPr>
          <w:p w14:paraId="21042414"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Investment and Property</w:t>
            </w:r>
          </w:p>
        </w:tc>
      </w:tr>
      <w:tr w:rsidR="00FA5989" w:rsidRPr="009D60B2" w14:paraId="2F3157E5"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1D78DD8A"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rPr>
              <w:t>Your division</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0D7BB18"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Asset Strategy</w:t>
            </w:r>
          </w:p>
        </w:tc>
      </w:tr>
      <w:tr w:rsidR="00FA5989" w:rsidRPr="009D60B2" w14:paraId="49C4713C"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3F0F0"/>
          </w:tcPr>
          <w:p w14:paraId="1305AD4F"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rPr>
              <w:t>Your work environment</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3F0F0"/>
          </w:tcPr>
          <w:p w14:paraId="5BD65D41"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Roaming</w:t>
            </w:r>
          </w:p>
        </w:tc>
      </w:tr>
      <w:tr w:rsidR="00FA5989" w:rsidRPr="009D60B2" w14:paraId="04BFEB4A"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1038F6D9"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rPr>
              <w:t>Your location</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4629375"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Any location across the business</w:t>
            </w:r>
          </w:p>
        </w:tc>
      </w:tr>
      <w:tr w:rsidR="00FA5989" w:rsidRPr="009D60B2" w14:paraId="3B50FB70"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D5D1D1"/>
          </w:tcPr>
          <w:p w14:paraId="51B22C0E"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shd w:val="clear" w:color="auto" w:fill="D5D1D1"/>
              </w:rPr>
              <w:t>Your role in a nutshell</w:t>
            </w:r>
          </w:p>
        </w:tc>
      </w:tr>
      <w:tr w:rsidR="00FA5989" w:rsidRPr="009D60B2" w14:paraId="7C8731B1"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CCAD62C"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This role leads the development of group-wide strategies to measure and manage environmental impacts effectively. It implements comprehensive approaches to enhance environmental performance across all operations. The role drives continuous improvement initiatives to reduce our ecological footprint, environmental impact and meet net-zero targets.</w:t>
            </w:r>
          </w:p>
        </w:tc>
      </w:tr>
      <w:tr w:rsidR="00FA5989" w:rsidRPr="009D60B2" w14:paraId="7C9537E1"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D5D1D1"/>
          </w:tcPr>
          <w:p w14:paraId="698A6017"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shd w:val="clear" w:color="auto" w:fill="D5D1D1"/>
              </w:rPr>
              <w:t>What you’ll be doing</w:t>
            </w:r>
          </w:p>
        </w:tc>
      </w:tr>
      <w:tr w:rsidR="00FA5989" w:rsidRPr="009D60B2" w14:paraId="6ECBB139"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38DB7AA"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Developing environmental management strategies</w:t>
            </w:r>
          </w:p>
        </w:tc>
      </w:tr>
      <w:tr w:rsidR="00FA5989" w:rsidRPr="009D60B2" w14:paraId="20D5BCD9"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3F0F0"/>
          </w:tcPr>
          <w:p w14:paraId="175AC7F4" w14:textId="77777777" w:rsidR="00FA5989" w:rsidRPr="009D60B2" w:rsidRDefault="009D60B2">
            <w:pPr>
              <w:widowControl w:val="0"/>
              <w:numPr>
                <w:ilvl w:val="0"/>
                <w:numId w:val="1"/>
              </w:numPr>
              <w:spacing w:line="240" w:lineRule="auto"/>
              <w:rPr>
                <w:rFonts w:ascii="Atkinson Hyperlegible" w:hAnsi="Atkinson Hyperlegible"/>
              </w:rPr>
            </w:pPr>
            <w:r w:rsidRPr="009D60B2">
              <w:rPr>
                <w:rFonts w:ascii="Atkinson Hyperlegible" w:hAnsi="Atkinson Hyperlegible"/>
              </w:rPr>
              <w:t>Implementing comprehensive organisational approaches to environmental management across all business operations and functions.</w:t>
            </w:r>
          </w:p>
          <w:p w14:paraId="10B59304" w14:textId="77777777" w:rsidR="00FA5989" w:rsidRPr="009D60B2" w:rsidRDefault="009D60B2">
            <w:pPr>
              <w:widowControl w:val="0"/>
              <w:numPr>
                <w:ilvl w:val="0"/>
                <w:numId w:val="1"/>
              </w:numPr>
              <w:spacing w:line="240" w:lineRule="auto"/>
              <w:rPr>
                <w:rFonts w:ascii="Atkinson Hyperlegible" w:hAnsi="Atkinson Hyperlegible"/>
              </w:rPr>
            </w:pPr>
            <w:r w:rsidRPr="009D60B2">
              <w:rPr>
                <w:rFonts w:ascii="Atkinson Hyperlegible" w:hAnsi="Atkinson Hyperlegible"/>
              </w:rPr>
              <w:t xml:space="preserve">Creating and maintaining group-wide environmental aspects, risk and legislation </w:t>
            </w:r>
            <w:proofErr w:type="gramStart"/>
            <w:r w:rsidRPr="009D60B2">
              <w:rPr>
                <w:rFonts w:ascii="Atkinson Hyperlegible" w:hAnsi="Atkinson Hyperlegible"/>
              </w:rPr>
              <w:t>registers</w:t>
            </w:r>
            <w:proofErr w:type="gramEnd"/>
            <w:r w:rsidRPr="009D60B2">
              <w:rPr>
                <w:rFonts w:ascii="Atkinson Hyperlegible" w:hAnsi="Atkinson Hyperlegible"/>
              </w:rPr>
              <w:t xml:space="preserve"> to identify mitigation methods.</w:t>
            </w:r>
          </w:p>
        </w:tc>
      </w:tr>
      <w:tr w:rsidR="00FA5989" w:rsidRPr="009D60B2" w14:paraId="0AC2C1BC"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2BA93BE"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Delivering carbon reduction initiatives</w:t>
            </w:r>
          </w:p>
        </w:tc>
      </w:tr>
      <w:tr w:rsidR="00FA5989" w:rsidRPr="009D60B2" w14:paraId="14A36A5C"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3F0F0"/>
          </w:tcPr>
          <w:p w14:paraId="6C8EF760" w14:textId="77777777" w:rsidR="00FA5989" w:rsidRPr="009D60B2" w:rsidRDefault="009D60B2">
            <w:pPr>
              <w:widowControl w:val="0"/>
              <w:numPr>
                <w:ilvl w:val="0"/>
                <w:numId w:val="2"/>
              </w:numPr>
              <w:spacing w:line="240" w:lineRule="auto"/>
              <w:rPr>
                <w:rFonts w:ascii="Atkinson Hyperlegible" w:hAnsi="Atkinson Hyperlegible"/>
              </w:rPr>
            </w:pPr>
            <w:r w:rsidRPr="009D60B2">
              <w:rPr>
                <w:rFonts w:ascii="Atkinson Hyperlegible" w:hAnsi="Atkinson Hyperlegible"/>
              </w:rPr>
              <w:t>Establishing and executing group-wide environmental impact action plans to achieve agreed key performance indicators.</w:t>
            </w:r>
          </w:p>
          <w:p w14:paraId="43B512EA" w14:textId="77777777" w:rsidR="00FA5989" w:rsidRPr="009D60B2" w:rsidRDefault="009D60B2">
            <w:pPr>
              <w:widowControl w:val="0"/>
              <w:numPr>
                <w:ilvl w:val="0"/>
                <w:numId w:val="2"/>
              </w:numPr>
              <w:spacing w:line="240" w:lineRule="auto"/>
              <w:rPr>
                <w:rFonts w:ascii="Atkinson Hyperlegible" w:hAnsi="Atkinson Hyperlegible"/>
              </w:rPr>
            </w:pPr>
            <w:r w:rsidRPr="009D60B2">
              <w:rPr>
                <w:rFonts w:ascii="Atkinson Hyperlegible" w:hAnsi="Atkinson Hyperlegible"/>
              </w:rPr>
              <w:t>Calculating and reporting carbon footprint measurements across all identified organisational emission sources.</w:t>
            </w:r>
          </w:p>
        </w:tc>
      </w:tr>
      <w:tr w:rsidR="00FA5989" w:rsidRPr="009D60B2" w14:paraId="53D4978F"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C340C9C"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Implementing environmental reporting frameworks</w:t>
            </w:r>
          </w:p>
        </w:tc>
      </w:tr>
      <w:tr w:rsidR="00FA5989" w:rsidRPr="009D60B2" w14:paraId="6F0FE6FF"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3F0F0"/>
          </w:tcPr>
          <w:p w14:paraId="1DC72F74" w14:textId="77777777" w:rsidR="00FA5989" w:rsidRPr="009D60B2" w:rsidRDefault="009D60B2">
            <w:pPr>
              <w:widowControl w:val="0"/>
              <w:numPr>
                <w:ilvl w:val="0"/>
                <w:numId w:val="3"/>
              </w:numPr>
              <w:spacing w:line="240" w:lineRule="auto"/>
              <w:rPr>
                <w:rFonts w:ascii="Atkinson Hyperlegible" w:hAnsi="Atkinson Hyperlegible"/>
              </w:rPr>
            </w:pPr>
            <w:r w:rsidRPr="009D60B2">
              <w:rPr>
                <w:rFonts w:ascii="Atkinson Hyperlegible" w:hAnsi="Atkinson Hyperlegible"/>
              </w:rPr>
              <w:t>Developing comprehensive reporting structures to capture and communicate environmental impacts aligned with ESG and other reporting requirements.</w:t>
            </w:r>
          </w:p>
          <w:p w14:paraId="7D743B32" w14:textId="77777777" w:rsidR="00FA5989" w:rsidRPr="009D60B2" w:rsidRDefault="009D60B2">
            <w:pPr>
              <w:widowControl w:val="0"/>
              <w:numPr>
                <w:ilvl w:val="0"/>
                <w:numId w:val="3"/>
              </w:numPr>
              <w:spacing w:line="240" w:lineRule="auto"/>
              <w:rPr>
                <w:rFonts w:ascii="Atkinson Hyperlegible" w:hAnsi="Atkinson Hyperlegible"/>
              </w:rPr>
            </w:pPr>
            <w:r w:rsidRPr="009D60B2">
              <w:rPr>
                <w:rFonts w:ascii="Atkinson Hyperlegible" w:hAnsi="Atkinson Hyperlegible"/>
              </w:rPr>
              <w:t>Preparing and presenting environmental performance reports to Leadership Team, senior managers and external stakeholders.</w:t>
            </w:r>
          </w:p>
        </w:tc>
      </w:tr>
      <w:tr w:rsidR="00FA5989" w:rsidRPr="009D60B2" w14:paraId="1D5AE8CA"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01DABF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Establishing environmental compliance processes</w:t>
            </w:r>
          </w:p>
        </w:tc>
      </w:tr>
      <w:tr w:rsidR="00FA5989" w:rsidRPr="009D60B2" w14:paraId="1BE984ED"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3F0F0"/>
          </w:tcPr>
          <w:p w14:paraId="43A160DA" w14:textId="77777777" w:rsidR="00FA5989" w:rsidRPr="009D60B2" w:rsidRDefault="009D60B2">
            <w:pPr>
              <w:widowControl w:val="0"/>
              <w:numPr>
                <w:ilvl w:val="0"/>
                <w:numId w:val="4"/>
              </w:numPr>
              <w:spacing w:line="240" w:lineRule="auto"/>
              <w:rPr>
                <w:rFonts w:ascii="Atkinson Hyperlegible" w:hAnsi="Atkinson Hyperlegible"/>
              </w:rPr>
            </w:pPr>
            <w:r w:rsidRPr="009D60B2">
              <w:rPr>
                <w:rFonts w:ascii="Atkinson Hyperlegible" w:hAnsi="Atkinson Hyperlegible"/>
              </w:rPr>
              <w:lastRenderedPageBreak/>
              <w:t>Reviewing and updating group policies and procedures to ensure alignment with environmental management requirements.</w:t>
            </w:r>
          </w:p>
          <w:p w14:paraId="210D7260" w14:textId="77777777" w:rsidR="00FA5989" w:rsidRPr="009D60B2" w:rsidRDefault="009D60B2">
            <w:pPr>
              <w:widowControl w:val="0"/>
              <w:numPr>
                <w:ilvl w:val="0"/>
                <w:numId w:val="4"/>
              </w:numPr>
              <w:spacing w:line="240" w:lineRule="auto"/>
              <w:rPr>
                <w:rFonts w:ascii="Atkinson Hyperlegible" w:hAnsi="Atkinson Hyperlegible"/>
              </w:rPr>
            </w:pPr>
            <w:r w:rsidRPr="009D60B2">
              <w:rPr>
                <w:rFonts w:ascii="Atkinson Hyperlegible" w:hAnsi="Atkinson Hyperlegible"/>
              </w:rPr>
              <w:t>Administering environmental legal and regulatory requirements within procurement and contract management processes.</w:t>
            </w:r>
          </w:p>
        </w:tc>
      </w:tr>
      <w:tr w:rsidR="00FA5989" w:rsidRPr="009D60B2" w14:paraId="6FDA00DE"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89D267A"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Building stakeholder relationships</w:t>
            </w:r>
          </w:p>
        </w:tc>
      </w:tr>
      <w:tr w:rsidR="00FA5989" w:rsidRPr="009D60B2" w14:paraId="0656B17E"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3F0F0"/>
          </w:tcPr>
          <w:p w14:paraId="196029BB" w14:textId="77777777" w:rsidR="00FA5989" w:rsidRPr="009D60B2" w:rsidRDefault="009D60B2">
            <w:pPr>
              <w:widowControl w:val="0"/>
              <w:numPr>
                <w:ilvl w:val="0"/>
                <w:numId w:val="5"/>
              </w:numPr>
              <w:spacing w:line="240" w:lineRule="auto"/>
              <w:rPr>
                <w:rFonts w:ascii="Atkinson Hyperlegible" w:hAnsi="Atkinson Hyperlegible"/>
              </w:rPr>
            </w:pPr>
            <w:r w:rsidRPr="009D60B2">
              <w:rPr>
                <w:rFonts w:ascii="Atkinson Hyperlegible" w:hAnsi="Atkinson Hyperlegible"/>
              </w:rPr>
              <w:t>Creating and nurturing partnerships with local authorities, regulatory bodies and environmental specialists to support organisational development.</w:t>
            </w:r>
          </w:p>
          <w:p w14:paraId="192D9FC3" w14:textId="77777777" w:rsidR="00FA5989" w:rsidRPr="009D60B2" w:rsidRDefault="009D60B2">
            <w:pPr>
              <w:widowControl w:val="0"/>
              <w:numPr>
                <w:ilvl w:val="0"/>
                <w:numId w:val="5"/>
              </w:numPr>
              <w:spacing w:line="240" w:lineRule="auto"/>
              <w:rPr>
                <w:rFonts w:ascii="Atkinson Hyperlegible" w:hAnsi="Atkinson Hyperlegible"/>
              </w:rPr>
            </w:pPr>
            <w:r w:rsidRPr="009D60B2">
              <w:rPr>
                <w:rFonts w:ascii="Atkinson Hyperlegible" w:hAnsi="Atkinson Hyperlegible"/>
              </w:rPr>
              <w:t>Promoting and raising awareness of environmental impacts and climate change agenda through engagement activities and training.</w:t>
            </w:r>
          </w:p>
        </w:tc>
      </w:tr>
      <w:tr w:rsidR="00FA5989" w:rsidRPr="009D60B2" w14:paraId="2FBBFF4D"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6E3E459"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Supporting environmental leadership</w:t>
            </w:r>
          </w:p>
        </w:tc>
      </w:tr>
      <w:tr w:rsidR="00FA5989" w:rsidRPr="009D60B2" w14:paraId="51FF5347"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3F0F0"/>
          </w:tcPr>
          <w:p w14:paraId="5A3E0610" w14:textId="77777777" w:rsidR="00FA5989" w:rsidRPr="009D60B2" w:rsidRDefault="009D60B2">
            <w:pPr>
              <w:widowControl w:val="0"/>
              <w:numPr>
                <w:ilvl w:val="0"/>
                <w:numId w:val="6"/>
              </w:numPr>
              <w:spacing w:line="240" w:lineRule="auto"/>
              <w:rPr>
                <w:rFonts w:ascii="Atkinson Hyperlegible" w:hAnsi="Atkinson Hyperlegible"/>
              </w:rPr>
            </w:pPr>
            <w:r w:rsidRPr="009D60B2">
              <w:rPr>
                <w:rFonts w:ascii="Atkinson Hyperlegible" w:hAnsi="Atkinson Hyperlegible"/>
              </w:rPr>
              <w:t>Deputising for the Head of Environment &amp; Sustainability on environmental team matters when required.</w:t>
            </w:r>
          </w:p>
          <w:p w14:paraId="187B6C88" w14:textId="77777777" w:rsidR="00FA5989" w:rsidRPr="009D60B2" w:rsidRDefault="009D60B2">
            <w:pPr>
              <w:widowControl w:val="0"/>
              <w:numPr>
                <w:ilvl w:val="0"/>
                <w:numId w:val="6"/>
              </w:numPr>
              <w:spacing w:line="240" w:lineRule="auto"/>
              <w:rPr>
                <w:rFonts w:ascii="Atkinson Hyperlegible" w:hAnsi="Atkinson Hyperlegible"/>
              </w:rPr>
            </w:pPr>
            <w:r w:rsidRPr="009D60B2">
              <w:rPr>
                <w:rFonts w:ascii="Atkinson Hyperlegible" w:hAnsi="Atkinson Hyperlegible"/>
              </w:rPr>
              <w:t>Identifying partnership and funding opportunities through engagement with external environmental stakeholders.</w:t>
            </w:r>
          </w:p>
        </w:tc>
      </w:tr>
      <w:tr w:rsidR="00FA5989" w:rsidRPr="009D60B2" w14:paraId="416D24D2"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D5D1D1"/>
          </w:tcPr>
          <w:p w14:paraId="4B2ABBA2"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b/>
                <w:shd w:val="clear" w:color="auto" w:fill="D5D1D1"/>
              </w:rPr>
              <w:t>Skills and qualifications</w:t>
            </w:r>
          </w:p>
        </w:tc>
      </w:tr>
      <w:tr w:rsidR="00FA5989" w:rsidRPr="009D60B2" w14:paraId="1F7B9343" w14:textId="77777777">
        <w:trPr>
          <w:jc w:val="center"/>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F3F0F0"/>
          </w:tcPr>
          <w:p w14:paraId="132A6681"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Qualifications</w:t>
            </w:r>
          </w:p>
        </w:tc>
        <w:tc>
          <w:tcPr>
            <w:tcW w:w="5739" w:type="dxa"/>
            <w:tcBorders>
              <w:top w:val="single" w:sz="8" w:space="0" w:color="000000"/>
              <w:left w:val="single" w:sz="8" w:space="0" w:color="000000"/>
              <w:bottom w:val="single" w:sz="8" w:space="0" w:color="000000"/>
              <w:right w:val="single" w:sz="8" w:space="0" w:color="000000"/>
            </w:tcBorders>
            <w:shd w:val="clear" w:color="auto" w:fill="F3F0F0"/>
          </w:tcPr>
          <w:p w14:paraId="5CAB3103"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Possess a degree-level qualification or equivalent, ideally an Environmental Management or related discipline.</w:t>
            </w:r>
          </w:p>
        </w:tc>
        <w:tc>
          <w:tcPr>
            <w:tcW w:w="1641" w:type="dxa"/>
            <w:tcBorders>
              <w:top w:val="single" w:sz="8" w:space="0" w:color="000000"/>
              <w:left w:val="single" w:sz="8" w:space="0" w:color="000000"/>
              <w:bottom w:val="single" w:sz="8" w:space="0" w:color="000000"/>
              <w:right w:val="single" w:sz="8" w:space="0" w:color="000000"/>
            </w:tcBorders>
            <w:shd w:val="clear" w:color="auto" w:fill="F3F0F0"/>
          </w:tcPr>
          <w:p w14:paraId="2E842B3D"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52BD1DE1" w14:textId="77777777">
        <w:trPr>
          <w:jc w:val="center"/>
        </w:trPr>
        <w:tc>
          <w:tcPr>
            <w:tcW w:w="2460" w:type="dxa"/>
            <w:vMerge/>
            <w:tcBorders>
              <w:top w:val="single" w:sz="8" w:space="0" w:color="000000"/>
              <w:left w:val="single" w:sz="8" w:space="0" w:color="000000"/>
              <w:bottom w:val="single" w:sz="8" w:space="0" w:color="000000"/>
              <w:right w:val="single" w:sz="8" w:space="0" w:color="000000"/>
            </w:tcBorders>
          </w:tcPr>
          <w:p w14:paraId="62CD2B7B" w14:textId="77777777" w:rsidR="00FA5989" w:rsidRPr="009D60B2" w:rsidRDefault="00FA5989">
            <w:pPr>
              <w:widowControl w:val="0"/>
              <w:rPr>
                <w:rFonts w:ascii="Atkinson Hyperlegible" w:hAnsi="Atkinson Hyperlegible"/>
              </w:rPr>
            </w:pPr>
          </w:p>
        </w:tc>
        <w:tc>
          <w:tcPr>
            <w:tcW w:w="5739" w:type="dxa"/>
            <w:tcBorders>
              <w:top w:val="single" w:sz="8" w:space="0" w:color="000000"/>
              <w:left w:val="single" w:sz="8" w:space="0" w:color="000000"/>
              <w:bottom w:val="single" w:sz="8" w:space="0" w:color="000000"/>
              <w:right w:val="single" w:sz="8" w:space="0" w:color="000000"/>
            </w:tcBorders>
            <w:shd w:val="clear" w:color="auto" w:fill="FFFFFF"/>
          </w:tcPr>
          <w:p w14:paraId="740A0C1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Be an ISEP Practitioner working towards achieving Full Membership status.</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cPr>
          <w:p w14:paraId="407E923E"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4A557E72"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3F0F0"/>
          </w:tcPr>
          <w:p w14:paraId="3C3013E9"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Experience</w:t>
            </w:r>
          </w:p>
        </w:tc>
        <w:tc>
          <w:tcPr>
            <w:tcW w:w="5739" w:type="dxa"/>
            <w:tcBorders>
              <w:top w:val="single" w:sz="8" w:space="0" w:color="000000"/>
              <w:left w:val="single" w:sz="8" w:space="0" w:color="000000"/>
              <w:bottom w:val="single" w:sz="8" w:space="0" w:color="000000"/>
              <w:right w:val="single" w:sz="8" w:space="0" w:color="000000"/>
            </w:tcBorders>
            <w:shd w:val="clear" w:color="auto" w:fill="F3F0F0"/>
          </w:tcPr>
          <w:p w14:paraId="1B789CF3"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Be able to demonstrate significant experience in contributing to policy and strategic development processes.</w:t>
            </w:r>
          </w:p>
        </w:tc>
        <w:tc>
          <w:tcPr>
            <w:tcW w:w="1641" w:type="dxa"/>
            <w:tcBorders>
              <w:top w:val="single" w:sz="8" w:space="0" w:color="000000"/>
              <w:left w:val="single" w:sz="8" w:space="0" w:color="000000"/>
              <w:bottom w:val="single" w:sz="8" w:space="0" w:color="000000"/>
              <w:right w:val="single" w:sz="8" w:space="0" w:color="000000"/>
            </w:tcBorders>
            <w:shd w:val="clear" w:color="auto" w:fill="F3F0F0"/>
          </w:tcPr>
          <w:p w14:paraId="7D29DECE"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0AEF3999" w14:textId="77777777">
        <w:trPr>
          <w:jc w:val="center"/>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CE0ADC3"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Knowledge</w:t>
            </w:r>
          </w:p>
        </w:tc>
        <w:tc>
          <w:tcPr>
            <w:tcW w:w="5739" w:type="dxa"/>
            <w:tcBorders>
              <w:top w:val="single" w:sz="8" w:space="0" w:color="000000"/>
              <w:left w:val="single" w:sz="8" w:space="0" w:color="000000"/>
              <w:bottom w:val="single" w:sz="8" w:space="0" w:color="000000"/>
              <w:right w:val="single" w:sz="8" w:space="0" w:color="000000"/>
            </w:tcBorders>
            <w:shd w:val="clear" w:color="auto" w:fill="FFFFFF"/>
          </w:tcPr>
          <w:p w14:paraId="6276DD37"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Have extensive knowledge of environmental management systems and their practical implementation in organisational settings.</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cPr>
          <w:p w14:paraId="05117CD9"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37AE8E81" w14:textId="77777777">
        <w:trPr>
          <w:jc w:val="center"/>
        </w:trPr>
        <w:tc>
          <w:tcPr>
            <w:tcW w:w="2460" w:type="dxa"/>
            <w:vMerge/>
            <w:tcBorders>
              <w:top w:val="single" w:sz="8" w:space="0" w:color="000000"/>
              <w:left w:val="single" w:sz="8" w:space="0" w:color="000000"/>
              <w:bottom w:val="single" w:sz="8" w:space="0" w:color="000000"/>
              <w:right w:val="single" w:sz="8" w:space="0" w:color="000000"/>
            </w:tcBorders>
          </w:tcPr>
          <w:p w14:paraId="16814EDE" w14:textId="77777777" w:rsidR="00FA5989" w:rsidRPr="009D60B2" w:rsidRDefault="00FA5989">
            <w:pPr>
              <w:widowControl w:val="0"/>
              <w:rPr>
                <w:rFonts w:ascii="Atkinson Hyperlegible" w:hAnsi="Atkinson Hyperlegible"/>
              </w:rPr>
            </w:pPr>
          </w:p>
        </w:tc>
        <w:tc>
          <w:tcPr>
            <w:tcW w:w="5739" w:type="dxa"/>
            <w:tcBorders>
              <w:top w:val="single" w:sz="8" w:space="0" w:color="000000"/>
              <w:left w:val="single" w:sz="8" w:space="0" w:color="000000"/>
              <w:bottom w:val="single" w:sz="8" w:space="0" w:color="000000"/>
              <w:right w:val="single" w:sz="8" w:space="0" w:color="000000"/>
            </w:tcBorders>
            <w:shd w:val="clear" w:color="auto" w:fill="F3F0F0"/>
          </w:tcPr>
          <w:p w14:paraId="79BB5B88"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Demonstrate comprehensive understanding of environmental and carbon legislation within the broader climate change context.</w:t>
            </w:r>
          </w:p>
        </w:tc>
        <w:tc>
          <w:tcPr>
            <w:tcW w:w="1641" w:type="dxa"/>
            <w:tcBorders>
              <w:top w:val="single" w:sz="8" w:space="0" w:color="000000"/>
              <w:left w:val="single" w:sz="8" w:space="0" w:color="000000"/>
              <w:bottom w:val="single" w:sz="8" w:space="0" w:color="000000"/>
              <w:right w:val="single" w:sz="8" w:space="0" w:color="000000"/>
            </w:tcBorders>
            <w:shd w:val="clear" w:color="auto" w:fill="F3F0F0"/>
          </w:tcPr>
          <w:p w14:paraId="23B37C2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6B5ADC63" w14:textId="77777777">
        <w:trPr>
          <w:jc w:val="center"/>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E9DB664"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Skills</w:t>
            </w:r>
          </w:p>
        </w:tc>
        <w:tc>
          <w:tcPr>
            <w:tcW w:w="5739" w:type="dxa"/>
            <w:tcBorders>
              <w:top w:val="single" w:sz="8" w:space="0" w:color="000000"/>
              <w:left w:val="single" w:sz="8" w:space="0" w:color="000000"/>
              <w:bottom w:val="single" w:sz="8" w:space="0" w:color="000000"/>
              <w:right w:val="single" w:sz="8" w:space="0" w:color="000000"/>
            </w:tcBorders>
            <w:shd w:val="clear" w:color="auto" w:fill="FFFFFF"/>
          </w:tcPr>
          <w:p w14:paraId="436AF7C4"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Be skilled in data management and analysis, with ability to identify meaningful trends and variances.</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cPr>
          <w:p w14:paraId="79AFE115"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4B7591F4" w14:textId="77777777">
        <w:trPr>
          <w:jc w:val="center"/>
        </w:trPr>
        <w:tc>
          <w:tcPr>
            <w:tcW w:w="2460" w:type="dxa"/>
            <w:vMerge/>
            <w:tcBorders>
              <w:top w:val="single" w:sz="8" w:space="0" w:color="000000"/>
              <w:left w:val="single" w:sz="8" w:space="0" w:color="000000"/>
              <w:bottom w:val="single" w:sz="8" w:space="0" w:color="000000"/>
              <w:right w:val="single" w:sz="8" w:space="0" w:color="000000"/>
            </w:tcBorders>
          </w:tcPr>
          <w:p w14:paraId="17C5A240" w14:textId="77777777" w:rsidR="00FA5989" w:rsidRPr="009D60B2" w:rsidRDefault="00FA5989">
            <w:pPr>
              <w:widowControl w:val="0"/>
              <w:rPr>
                <w:rFonts w:ascii="Atkinson Hyperlegible" w:hAnsi="Atkinson Hyperlegible"/>
              </w:rPr>
            </w:pPr>
          </w:p>
        </w:tc>
        <w:tc>
          <w:tcPr>
            <w:tcW w:w="5739" w:type="dxa"/>
            <w:tcBorders>
              <w:top w:val="single" w:sz="8" w:space="0" w:color="000000"/>
              <w:left w:val="single" w:sz="8" w:space="0" w:color="000000"/>
              <w:bottom w:val="single" w:sz="8" w:space="0" w:color="000000"/>
              <w:right w:val="single" w:sz="8" w:space="0" w:color="000000"/>
            </w:tcBorders>
            <w:shd w:val="clear" w:color="auto" w:fill="F3F0F0"/>
          </w:tcPr>
          <w:p w14:paraId="13EE3477"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 xml:space="preserve">Have expertise in gathering and processing data from multiple sources while managing diverse stakeholder </w:t>
            </w:r>
            <w:r w:rsidRPr="009D60B2">
              <w:rPr>
                <w:rFonts w:ascii="Atkinson Hyperlegible" w:hAnsi="Atkinson Hyperlegible"/>
              </w:rPr>
              <w:lastRenderedPageBreak/>
              <w:t>relationships.</w:t>
            </w:r>
          </w:p>
        </w:tc>
        <w:tc>
          <w:tcPr>
            <w:tcW w:w="1641" w:type="dxa"/>
            <w:tcBorders>
              <w:top w:val="single" w:sz="8" w:space="0" w:color="000000"/>
              <w:left w:val="single" w:sz="8" w:space="0" w:color="000000"/>
              <w:bottom w:val="single" w:sz="8" w:space="0" w:color="000000"/>
              <w:right w:val="single" w:sz="8" w:space="0" w:color="000000"/>
            </w:tcBorders>
            <w:shd w:val="clear" w:color="auto" w:fill="F3F0F0"/>
          </w:tcPr>
          <w:p w14:paraId="345F6A1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lastRenderedPageBreak/>
              <w:t>Essential</w:t>
            </w:r>
          </w:p>
        </w:tc>
      </w:tr>
      <w:tr w:rsidR="00FA5989" w:rsidRPr="009D60B2" w14:paraId="5F963EB7" w14:textId="77777777">
        <w:trPr>
          <w:jc w:val="center"/>
        </w:trPr>
        <w:tc>
          <w:tcPr>
            <w:tcW w:w="2460" w:type="dxa"/>
            <w:vMerge/>
            <w:tcBorders>
              <w:top w:val="single" w:sz="8" w:space="0" w:color="000000"/>
              <w:left w:val="single" w:sz="8" w:space="0" w:color="000000"/>
              <w:bottom w:val="single" w:sz="8" w:space="0" w:color="000000"/>
              <w:right w:val="single" w:sz="8" w:space="0" w:color="000000"/>
            </w:tcBorders>
          </w:tcPr>
          <w:p w14:paraId="786D0DD0" w14:textId="77777777" w:rsidR="00FA5989" w:rsidRPr="009D60B2" w:rsidRDefault="00FA5989">
            <w:pPr>
              <w:widowControl w:val="0"/>
              <w:rPr>
                <w:rFonts w:ascii="Atkinson Hyperlegible" w:hAnsi="Atkinson Hyperlegible"/>
              </w:rPr>
            </w:pPr>
          </w:p>
        </w:tc>
        <w:tc>
          <w:tcPr>
            <w:tcW w:w="5739" w:type="dxa"/>
            <w:tcBorders>
              <w:top w:val="single" w:sz="8" w:space="0" w:color="000000"/>
              <w:left w:val="single" w:sz="8" w:space="0" w:color="000000"/>
              <w:bottom w:val="single" w:sz="8" w:space="0" w:color="000000"/>
              <w:right w:val="single" w:sz="8" w:space="0" w:color="000000"/>
            </w:tcBorders>
            <w:shd w:val="clear" w:color="auto" w:fill="FFFFFF"/>
          </w:tcPr>
          <w:p w14:paraId="0AB7CC0B"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Be skilled in influencing and negotiating, with ability to question and communicate effectively with stakeholders.</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cPr>
          <w:p w14:paraId="481B6FA1"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4B222F52" w14:textId="77777777">
        <w:trPr>
          <w:jc w:val="center"/>
        </w:trPr>
        <w:tc>
          <w:tcPr>
            <w:tcW w:w="2460" w:type="dxa"/>
            <w:vMerge/>
            <w:tcBorders>
              <w:top w:val="single" w:sz="8" w:space="0" w:color="000000"/>
              <w:left w:val="single" w:sz="8" w:space="0" w:color="000000"/>
              <w:bottom w:val="single" w:sz="8" w:space="0" w:color="000000"/>
              <w:right w:val="single" w:sz="8" w:space="0" w:color="000000"/>
            </w:tcBorders>
          </w:tcPr>
          <w:p w14:paraId="21F0DA68" w14:textId="77777777" w:rsidR="00FA5989" w:rsidRPr="009D60B2" w:rsidRDefault="00FA5989">
            <w:pPr>
              <w:widowControl w:val="0"/>
              <w:rPr>
                <w:rFonts w:ascii="Atkinson Hyperlegible" w:hAnsi="Atkinson Hyperlegible"/>
              </w:rPr>
            </w:pPr>
          </w:p>
        </w:tc>
        <w:tc>
          <w:tcPr>
            <w:tcW w:w="5739" w:type="dxa"/>
            <w:tcBorders>
              <w:top w:val="single" w:sz="8" w:space="0" w:color="000000"/>
              <w:left w:val="single" w:sz="8" w:space="0" w:color="000000"/>
              <w:bottom w:val="single" w:sz="8" w:space="0" w:color="000000"/>
              <w:right w:val="single" w:sz="8" w:space="0" w:color="000000"/>
            </w:tcBorders>
            <w:shd w:val="clear" w:color="auto" w:fill="F3F0F0"/>
          </w:tcPr>
          <w:p w14:paraId="2FF79F26"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Possess good report writing abilities and competence in developing and delivering impactful presentations.</w:t>
            </w:r>
          </w:p>
        </w:tc>
        <w:tc>
          <w:tcPr>
            <w:tcW w:w="1641" w:type="dxa"/>
            <w:tcBorders>
              <w:top w:val="single" w:sz="8" w:space="0" w:color="000000"/>
              <w:left w:val="single" w:sz="8" w:space="0" w:color="000000"/>
              <w:bottom w:val="single" w:sz="8" w:space="0" w:color="000000"/>
              <w:right w:val="single" w:sz="8" w:space="0" w:color="000000"/>
            </w:tcBorders>
            <w:shd w:val="clear" w:color="auto" w:fill="F3F0F0"/>
          </w:tcPr>
          <w:p w14:paraId="49A146B3"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5C46FB7E" w14:textId="77777777">
        <w:trPr>
          <w:jc w:val="center"/>
        </w:trPr>
        <w:tc>
          <w:tcPr>
            <w:tcW w:w="2460" w:type="dxa"/>
            <w:vMerge/>
            <w:tcBorders>
              <w:top w:val="single" w:sz="8" w:space="0" w:color="000000"/>
              <w:left w:val="single" w:sz="8" w:space="0" w:color="000000"/>
              <w:bottom w:val="single" w:sz="8" w:space="0" w:color="000000"/>
              <w:right w:val="single" w:sz="8" w:space="0" w:color="000000"/>
            </w:tcBorders>
          </w:tcPr>
          <w:p w14:paraId="797E4503" w14:textId="77777777" w:rsidR="00FA5989" w:rsidRPr="009D60B2" w:rsidRDefault="00FA5989">
            <w:pPr>
              <w:widowControl w:val="0"/>
              <w:rPr>
                <w:rFonts w:ascii="Atkinson Hyperlegible" w:hAnsi="Atkinson Hyperlegible"/>
              </w:rPr>
            </w:pPr>
          </w:p>
        </w:tc>
        <w:tc>
          <w:tcPr>
            <w:tcW w:w="5739" w:type="dxa"/>
            <w:tcBorders>
              <w:top w:val="single" w:sz="8" w:space="0" w:color="000000"/>
              <w:left w:val="single" w:sz="8" w:space="0" w:color="000000"/>
              <w:bottom w:val="single" w:sz="8" w:space="0" w:color="000000"/>
              <w:right w:val="single" w:sz="8" w:space="0" w:color="000000"/>
            </w:tcBorders>
            <w:shd w:val="clear" w:color="auto" w:fill="FFFFFF"/>
          </w:tcPr>
          <w:p w14:paraId="7C2A7754"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Have expertise in project management and demonstrate capability in successfully managing organisational change.</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cPr>
          <w:p w14:paraId="0430B972"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r w:rsidR="00FA5989" w:rsidRPr="009D60B2" w14:paraId="40D56608" w14:textId="77777777">
        <w:trPr>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3F0F0"/>
          </w:tcPr>
          <w:p w14:paraId="2A2AE9A4"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Other</w:t>
            </w:r>
          </w:p>
        </w:tc>
        <w:tc>
          <w:tcPr>
            <w:tcW w:w="5739" w:type="dxa"/>
            <w:tcBorders>
              <w:top w:val="single" w:sz="8" w:space="0" w:color="000000"/>
              <w:left w:val="single" w:sz="8" w:space="0" w:color="000000"/>
              <w:bottom w:val="single" w:sz="8" w:space="0" w:color="000000"/>
              <w:right w:val="single" w:sz="8" w:space="0" w:color="000000"/>
            </w:tcBorders>
            <w:shd w:val="clear" w:color="auto" w:fill="F3F0F0"/>
          </w:tcPr>
          <w:p w14:paraId="4B51FC63"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Be able to demonstrate a genuine drive and passion for improving environmental impact and sustainability.</w:t>
            </w:r>
          </w:p>
        </w:tc>
        <w:tc>
          <w:tcPr>
            <w:tcW w:w="1641" w:type="dxa"/>
            <w:tcBorders>
              <w:top w:val="single" w:sz="8" w:space="0" w:color="000000"/>
              <w:left w:val="single" w:sz="8" w:space="0" w:color="000000"/>
              <w:bottom w:val="single" w:sz="8" w:space="0" w:color="000000"/>
              <w:right w:val="single" w:sz="8" w:space="0" w:color="000000"/>
            </w:tcBorders>
            <w:shd w:val="clear" w:color="auto" w:fill="F3F0F0"/>
          </w:tcPr>
          <w:p w14:paraId="234C4A91" w14:textId="77777777" w:rsidR="00FA5989" w:rsidRPr="009D60B2" w:rsidRDefault="009D60B2">
            <w:pPr>
              <w:widowControl w:val="0"/>
              <w:spacing w:line="240" w:lineRule="auto"/>
              <w:rPr>
                <w:rFonts w:ascii="Atkinson Hyperlegible" w:hAnsi="Atkinson Hyperlegible"/>
              </w:rPr>
            </w:pPr>
            <w:r w:rsidRPr="009D60B2">
              <w:rPr>
                <w:rFonts w:ascii="Atkinson Hyperlegible" w:hAnsi="Atkinson Hyperlegible"/>
              </w:rPr>
              <w:t>Essential</w:t>
            </w:r>
          </w:p>
        </w:tc>
      </w:tr>
    </w:tbl>
    <w:p w14:paraId="55B81413" w14:textId="77777777" w:rsidR="00FA5989" w:rsidRPr="009D60B2" w:rsidRDefault="00FA5989">
      <w:pPr>
        <w:spacing w:line="240" w:lineRule="auto"/>
        <w:rPr>
          <w:rFonts w:ascii="Atkinson Hyperlegible" w:hAnsi="Atkinson Hyperlegible"/>
        </w:rPr>
      </w:pPr>
    </w:p>
    <w:sectPr w:rsidR="00FA5989" w:rsidRPr="009D60B2">
      <w:headerReference w:type="default" r:id="rId7"/>
      <w:footerReference w:type="default" r:id="rId8"/>
      <w:pgSz w:w="12240" w:h="15840"/>
      <w:pgMar w:top="700" w:right="1200" w:bottom="700" w:left="1200" w:header="500" w:footer="50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0739" w14:textId="77777777" w:rsidR="009D60B2" w:rsidRDefault="009D60B2">
      <w:pPr>
        <w:spacing w:after="0" w:line="240" w:lineRule="auto"/>
      </w:pPr>
      <w:r>
        <w:separator/>
      </w:r>
    </w:p>
  </w:endnote>
  <w:endnote w:type="continuationSeparator" w:id="0">
    <w:p w14:paraId="10C92461" w14:textId="77777777" w:rsidR="009D60B2" w:rsidRDefault="009D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tkinson Hyperlegible">
    <w:panose1 w:val="00000000000000000000"/>
    <w:charset w:val="00"/>
    <w:family w:val="auto"/>
    <w:pitch w:val="variable"/>
    <w:sig w:usb0="800000EF" w:usb1="0000204B"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1422" w14:textId="77777777" w:rsidR="00FA5989" w:rsidRDefault="00FA5989">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BF91" w14:textId="77777777" w:rsidR="009D60B2" w:rsidRDefault="009D60B2">
      <w:pPr>
        <w:spacing w:after="0" w:line="240" w:lineRule="auto"/>
      </w:pPr>
      <w:r>
        <w:separator/>
      </w:r>
    </w:p>
  </w:footnote>
  <w:footnote w:type="continuationSeparator" w:id="0">
    <w:p w14:paraId="7FDA1DCA" w14:textId="77777777" w:rsidR="009D60B2" w:rsidRDefault="009D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3019" w14:textId="77777777" w:rsidR="00FA5989" w:rsidRDefault="009D60B2">
    <w:pPr>
      <w:pStyle w:val="Heading2"/>
      <w:spacing w:line="240" w:lineRule="auto"/>
    </w:pPr>
    <w: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344"/>
    <w:multiLevelType w:val="multilevel"/>
    <w:tmpl w:val="8C9495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1" w15:restartNumberingAfterBreak="0">
    <w:nsid w:val="122551E1"/>
    <w:multiLevelType w:val="multilevel"/>
    <w:tmpl w:val="BA3C3F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6D5278E"/>
    <w:multiLevelType w:val="multilevel"/>
    <w:tmpl w:val="4A1EEF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3" w15:restartNumberingAfterBreak="0">
    <w:nsid w:val="455D34D8"/>
    <w:multiLevelType w:val="multilevel"/>
    <w:tmpl w:val="1410EC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4" w15:restartNumberingAfterBreak="0">
    <w:nsid w:val="606B4422"/>
    <w:multiLevelType w:val="multilevel"/>
    <w:tmpl w:val="165ADE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5" w15:restartNumberingAfterBreak="0">
    <w:nsid w:val="64736968"/>
    <w:multiLevelType w:val="multilevel"/>
    <w:tmpl w:val="F75C17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6" w15:restartNumberingAfterBreak="0">
    <w:nsid w:val="6BDC2B05"/>
    <w:multiLevelType w:val="multilevel"/>
    <w:tmpl w:val="1A1C2B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num w:numId="1" w16cid:durableId="1979410426">
    <w:abstractNumId w:val="2"/>
  </w:num>
  <w:num w:numId="2" w16cid:durableId="2019384361">
    <w:abstractNumId w:val="5"/>
  </w:num>
  <w:num w:numId="3" w16cid:durableId="388698817">
    <w:abstractNumId w:val="0"/>
  </w:num>
  <w:num w:numId="4" w16cid:durableId="1509250089">
    <w:abstractNumId w:val="3"/>
  </w:num>
  <w:num w:numId="5" w16cid:durableId="2140755335">
    <w:abstractNumId w:val="4"/>
  </w:num>
  <w:num w:numId="6" w16cid:durableId="794908009">
    <w:abstractNumId w:val="6"/>
  </w:num>
  <w:num w:numId="7" w16cid:durableId="92506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5989"/>
    <w:rsid w:val="009D60B2"/>
    <w:rsid w:val="00AB345D"/>
    <w:rsid w:val="00FA59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2393"/>
  <w15:docId w15:val="{45622902-B9F5-482A-A48F-40C86224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style>
  <w:style w:type="paragraph" w:styleId="Heading1">
    <w:name w:val="heading 1"/>
    <w:basedOn w:val="Heading"/>
    <w:uiPriority w:val="9"/>
    <w:qFormat/>
    <w:pPr>
      <w:keepLines/>
      <w:spacing w:before="480"/>
      <w:outlineLvl w:val="0"/>
    </w:pPr>
    <w:rPr>
      <w:b/>
      <w:sz w:val="48"/>
      <w:szCs w:val="48"/>
    </w:rPr>
  </w:style>
  <w:style w:type="paragraph" w:styleId="Heading2">
    <w:name w:val="heading 2"/>
    <w:basedOn w:val="Heading"/>
    <w:uiPriority w:val="9"/>
    <w:unhideWhenUsed/>
    <w:qFormat/>
    <w:pPr>
      <w:keepLines/>
      <w:spacing w:before="360" w:after="80"/>
      <w:outlineLvl w:val="1"/>
    </w:pPr>
    <w:rPr>
      <w:b/>
      <w:sz w:val="36"/>
      <w:szCs w:val="36"/>
    </w:rPr>
  </w:style>
  <w:style w:type="paragraph" w:styleId="Heading3">
    <w:name w:val="heading 3"/>
    <w:basedOn w:val="Heading"/>
    <w:uiPriority w:val="9"/>
    <w:semiHidden/>
    <w:unhideWhenUsed/>
    <w:qFormat/>
    <w:pPr>
      <w:keepLines/>
      <w:spacing w:before="280" w:after="80"/>
      <w:outlineLvl w:val="2"/>
    </w:pPr>
    <w:rPr>
      <w:b/>
    </w:rPr>
  </w:style>
  <w:style w:type="paragraph" w:styleId="Heading4">
    <w:name w:val="heading 4"/>
    <w:basedOn w:val="Heading"/>
    <w:uiPriority w:val="9"/>
    <w:semiHidden/>
    <w:unhideWhenUsed/>
    <w:qFormat/>
    <w:pPr>
      <w:keepLines/>
      <w:spacing w:after="40"/>
      <w:outlineLvl w:val="3"/>
    </w:pPr>
    <w:rPr>
      <w:b/>
      <w:sz w:val="24"/>
      <w:szCs w:val="24"/>
    </w:rPr>
  </w:style>
  <w:style w:type="paragraph" w:styleId="Heading5">
    <w:name w:val="heading 5"/>
    <w:basedOn w:val="Heading"/>
    <w:uiPriority w:val="9"/>
    <w:semiHidden/>
    <w:unhideWhenUsed/>
    <w:qFormat/>
    <w:pPr>
      <w:keepLines/>
      <w:spacing w:before="220" w:after="40"/>
      <w:outlineLvl w:val="4"/>
    </w:pPr>
    <w:rPr>
      <w:b/>
    </w:rPr>
  </w:style>
  <w:style w:type="paragraph" w:styleId="Heading6">
    <w:name w:val="heading 6"/>
    <w:basedOn w:val="Heading"/>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qFormat/>
    <w:pPr>
      <w:keepNext/>
      <w:spacing w:before="24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3112</Characters>
  <Application>Microsoft Office Word</Application>
  <DocSecurity>0</DocSecurity>
  <Lines>622</Lines>
  <Paragraphs>251</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dc:description/>
  <cp:lastModifiedBy>Rachael Malpass</cp:lastModifiedBy>
  <cp:revision>2</cp:revision>
  <dcterms:created xsi:type="dcterms:W3CDTF">2026-02-13T15:26:00Z</dcterms:created>
  <dcterms:modified xsi:type="dcterms:W3CDTF">2026-02-13T15:26:00Z</dcterms:modified>
  <dc:language>en-US</dc:language>
</cp:coreProperties>
</file>